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4P.168/1999 vom 17. Februar 2000</w:t>
      </w:r>
    </w:p>
    <w:p>
      <w:r>
        <w:t>Bundesgericht, 2000-02-17, DE</w:t>
      </w:r>
    </w:p>
    <w:p>
      <w:r>
        <w:rPr>
          <w:b/>
        </w:rPr>
        <w:t xml:space="preserve">Quelle: </w:t>
      </w:r>
      <w:r>
        <w:t>https://mcp.opencaselaw.ch/entscheid/bger_4P.168_1999</w:t>
      </w:r>
    </w:p>
    <w:p>
      <w:r>
        <w:t>FR: TF 4P.168/1999 du 17 février 2000</w:t>
      </w:r>
    </w:p>
    <w:p>
      <w:r>
        <w:t>IT: TF 4P.168/1999 del 17 febbraio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Das Bundesgericht prüft die Zulässigkeit der bei</w:t>
      </w:r>
    </w:p>
    <w:p>
      <w:r>
        <w:t>ihm eingereichten Beschwerden von Amtes wegen und mit freier</w:t>
      </w:r>
    </w:p>
    <w:p>
      <w:r>
        <w:t>Kognition ( BGE 124 I 11 E. 1 S. 13).</w:t>
      </w:r>
    </w:p>
    <w:p>
      <w:r>
        <w:t>b) Die Beschwerdeführerin rügt gemäss Art. 190 Abs.</w:t>
      </w:r>
    </w:p>
    <w:p>
      <w:r>
        <w:rPr>
          <w:b/>
        </w:rPr>
        <w:t>E. 2</w:t>
      </w:r>
    </w:p>
    <w:p>
      <w:r>
        <w:t>a) Gemäss Art. 180 Abs. 1 lit. c IPRG kann ein</w:t>
      </w:r>
    </w:p>
    <w:p>
      <w:r>
        <w:t>Richter abgelehnt werden, wenn Umstände vorliegen, die An-</w:t>
      </w:r>
    </w:p>
    <w:p>
      <w:r>
        <w:t>lass zu berechtigten Zweifeln an seiner Unabhängigkeit ge-</w:t>
      </w:r>
    </w:p>
    <w:p>
      <w:r>
        <w:t>ben. Ob dies zutrifft bestimmt sich nach den Grundsätzen,</w:t>
      </w:r>
    </w:p>
    <w:p>
      <w:r>
        <w:t>welche sich auch aus Art. 58 BV und Art. 6 Ziff. 1 EMRK er-</w:t>
      </w:r>
    </w:p>
    <w:p>
      <w:r>
        <w:t>geben. Diese gelten damit nicht nur für staatliche Gerichte,</w:t>
      </w:r>
    </w:p>
    <w:p>
      <w:r>
        <w:t>sondern auch für private Schiedsgerichte, deren Entscheide</w:t>
      </w:r>
    </w:p>
    <w:p>
      <w:r>
        <w:t>jenen der staatlichen Rechtspflege hinsichtlich Rechtskraft</w:t>
      </w:r>
    </w:p>
    <w:p>
      <w:r>
        <w:t>und Vollstreckbarkeit gleichstehen und die deshalb grund-</w:t>
      </w:r>
    </w:p>
    <w:p>
      <w:r>
        <w:t>sätzlich dieselbe Gewähr für eine unabhängige Rechtsprechung</w:t>
      </w:r>
    </w:p>
    <w:p>
      <w:r>
        <w:t>bieten müssen ( BGE 119 II 271 E. 3b S. 275, 117 Ia 166 E. 5a</w:t>
      </w:r>
    </w:p>
    <w:p>
      <w:r>
        <w:t>S. 168 mit Hinweisen). Die Garantie auf einen unabhängigen</w:t>
      </w:r>
    </w:p>
    <w:p>
      <w:r>
        <w:t>Richter ist verletzt, wenn bei objektiver Betrachtung Um-</w:t>
      </w:r>
    </w:p>
    <w:p>
      <w:r>
        <w:t>stände vorliegen, welche den Anschein der Befangenheit und</w:t>
      </w:r>
    </w:p>
    <w:p>
      <w:r>
        <w:t>die Gefahr der Voreingenommenheit zu begründen vermögen (BGE</w:t>
      </w:r>
    </w:p>
    <w:p>
      <w:r>
        <w:t>119 Ia 221 E. 3 S. 226). Solche Umstände können entweder in</w:t>
      </w:r>
    </w:p>
    <w:p>
      <w:r>
        <w:t>einem bestimmten persönlichen Verhalten des Richters oder in</w:t>
      </w:r>
    </w:p>
    <w:p>
      <w:r>
        <w:t>funktionellen und organisatorischen Gegebenheiten liegen. In</w:t>
      </w:r>
    </w:p>
    <w:p>
      <w:r>
        <w:t>beiden Fällen wird aber nicht verlangt, dass der Richter</w:t>
      </w:r>
    </w:p>
    <w:p>
      <w:r>
        <w:t>deswegen tatsächlich befangen ist. Es genügt, wenn Umstände</w:t>
      </w:r>
    </w:p>
    <w:p>
      <w:r>
        <w:t>vorliegen, welche den Anschein der Befangenheit erwecken</w:t>
      </w:r>
    </w:p>
    <w:p>
      <w:r>
        <w:t>können. Bei der Beurteilung und Gewichtung solcher Umstände</w:t>
      </w:r>
    </w:p>
    <w:p>
      <w:r>
        <w:t>ist jedoch nicht auf das subjektive Empfinden einer Prozess-</w:t>
      </w:r>
    </w:p>
    <w:p>
      <w:r>
        <w:t>partei abzustellen; das Misstrauen hinsichtlich der Unvor-</w:t>
      </w:r>
    </w:p>
    <w:p>
      <w:r>
        <w:t>eingenommenheit muss vielmehr objektiv begründet erscheinen</w:t>
      </w:r>
    </w:p>
    <w:p>
      <w:r>
        <w:t>( BGE 117 Ia 324 E. 2; 116 Ia 32 E. 2b mit Hinweisen).</w:t>
      </w:r>
    </w:p>
    <w:p>
      <w:r>
        <w:t>b) Die Beschwerdeführerin macht geltend, Dr. Karrer</w:t>
      </w:r>
    </w:p>
    <w:p>
      <w:r>
        <w:t>habe dadurch den Anschein der Befangenheit erweckt, dass er</w:t>
      </w:r>
    </w:p>
    <w:p>
      <w:r>
        <w:t>in seiner Eingabe bei der Zürcher Handelskammer angegeben</w:t>
      </w:r>
    </w:p>
    <w:p>
      <w:r>
        <w:t>habe, das Schreiben der Beschwerdeführerin vom Freitag</w:t>
      </w:r>
    </w:p>
    <w:p>
      <w:r>
        <w:rPr>
          <w:b/>
        </w:rPr>
        <w:t>E. 6</w:t>
      </w:r>
    </w:p>
    <w:p>
      <w:r>
        <w:t>Juni 1997 habe sich mit seinem Rückzug vom Montag 9. Juni</w:t>
      </w:r>
    </w:p>
    <w:p>
      <w:r>
        <w:t>1997 gekreuzt, was jedoch vom zeitlichen Ablauf her nicht</w:t>
      </w:r>
    </w:p>
    <w:p>
      <w:r>
        <w:t>möglich gewesen sei. Damit unterstellt die Beschwerdeführe-</w:t>
      </w:r>
    </w:p>
    <w:p>
      <w:r>
        <w:t>rin Dr. Karrer, er habe wahrheitswidrig angegeben, dass der</w:t>
      </w:r>
    </w:p>
    <w:p>
      <w:r>
        <w:t>Rückzug des Mandatsantrags und nicht die Ablehnungsanträge</w:t>
      </w:r>
    </w:p>
    <w:p>
      <w:r>
        <w:t>der Beschwerdeführerin Anlass für den Fax-Brief vom 9. Juni</w:t>
      </w:r>
    </w:p>
    <w:p>
      <w:r>
        <w:t>1997 gewesen sei. Entgegen der Auffassung der Beschwerdefüh-</w:t>
      </w:r>
    </w:p>
    <w:p>
      <w:r>
        <w:t>rerin besteht kein Anlass an der Ehrlichkeit von Dr. Karrer</w:t>
      </w:r>
    </w:p>
    <w:p>
      <w:r>
        <w:t>zu zweifeln, weil die zeitliche Abfolge der Fax-Schreiben</w:t>
      </w:r>
    </w:p>
    <w:p>
      <w:r>
        <w:t>die Angaben von Dr. Karrer nicht ausschliesst. Dieser machte</w:t>
      </w:r>
    </w:p>
    <w:p>
      <w:r>
        <w:t>in seiner Vernehmlassung nämlich geltend, er sei bis zum</w:t>
      </w:r>
    </w:p>
    <w:p>
      <w:r>
        <w:t>Freitag den 6. Juni 1997 auf Reisen gewesen und habe daher</w:t>
      </w:r>
    </w:p>
    <w:p>
      <w:r>
        <w:t>das Fax-Schreiben der Beschwerdeführerin noch nicht gesehen,</w:t>
      </w:r>
    </w:p>
    <w:p>
      <w:r>
        <w:t>als er am darauf folgenden Wochenende erfahren habe, dass</w:t>
      </w:r>
    </w:p>
    <w:p>
      <w:r>
        <w:t>die Verkäufer der Corange den Mandatsantrag zurückgezogen</w:t>
      </w:r>
    </w:p>
    <w:p>
      <w:r>
        <w:t>hatten. Daraufhin habe er noch am Wochenende den Brief dik-</w:t>
      </w:r>
    </w:p>
    <w:p>
      <w:r>
        <w:t>tiert, welcher am Montag 9. Juni 1997 versendet worden sei.</w:t>
      </w:r>
    </w:p>
    <w:p>
      <w:r>
        <w:t>Die Beschwerdeführerin gibt nicht an, inwiefern diese Anga-</w:t>
      </w:r>
    </w:p>
    <w:p>
      <w:r>
        <w:t>ben unzutreffend seien.</w:t>
      </w:r>
    </w:p>
    <w:p>
      <w:r>
        <w:t>Im Weiteren leitet die Beschwerdeführerin die Be-</w:t>
      </w:r>
    </w:p>
    <w:p>
      <w:r>
        <w:t>fangenheit von Dr. Karrer daraus ab, dass er ihr die Ableh-</w:t>
      </w:r>
    </w:p>
    <w:p>
      <w:r>
        <w:t>nung der Zustimmung zur fraglichen Mandatsübernahme bewusst</w:t>
      </w:r>
    </w:p>
    <w:p>
      <w:r>
        <w:t>oder unbewusst nachtragen könnte. Die Beschwerdeführerin</w:t>
      </w:r>
    </w:p>
    <w:p>
      <w:r>
        <w:t>lässt dabei ausser Acht, dass Dr. Karrer den Parteien diese</w:t>
      </w:r>
    </w:p>
    <w:p>
      <w:r>
        <w:t>Möglichkeit ausdrücklich offerierte und er damit sein Ver-</w:t>
      </w:r>
    </w:p>
    <w:p>
      <w:r>
        <w:t>ständnis zum Ausdruck brachte, dass die Beschwerdeführerin</w:t>
      </w:r>
    </w:p>
    <w:p>
      <w:r>
        <w:t>bei der Übernahme des Mandats die Möglichkeit eines Interes-</w:t>
      </w:r>
    </w:p>
    <w:p>
      <w:r>
        <w:t>senkonflikts hätte erblicken können. Zudem hatte die Ableh-</w:t>
      </w:r>
    </w:p>
    <w:p>
      <w:r>
        <w:t>nung gemäss den nicht widerlegten Angaben von Dr. Karrer</w:t>
      </w:r>
    </w:p>
    <w:p>
      <w:r>
        <w:t>keine praktische Auswirkung, weil der Mandatsantrag zurück-</w:t>
      </w:r>
    </w:p>
    <w:p>
      <w:r>
        <w:t>gezogen wurde. Es ist daher nicht anzunehmen, Dr. Karrer</w:t>
      </w:r>
    </w:p>
    <w:p>
      <w:r>
        <w:t>trage der Beschwerdeführerin die Ablehnung derart nach, dass</w:t>
      </w:r>
    </w:p>
    <w:p>
      <w:r>
        <w:t>er seine Unabhängigkeit verlieren würde. Ein objektiv be-</w:t>
      </w:r>
    </w:p>
    <w:p>
      <w:r>
        <w:t>gründetes Misstrauen auf Grund der abgelehnten Zustimmung</w:t>
      </w:r>
    </w:p>
    <w:p>
      <w:r>
        <w:t>zur Mandatsübernahme ist daher zu verneinen. Die Rüge, das</w:t>
      </w:r>
    </w:p>
    <w:p>
      <w:r>
        <w:t>Schiedsgericht sei vorschriftswidrig zusammengesetzt gewe-</w:t>
      </w:r>
    </w:p>
    <w:p>
      <w:r>
        <w:t>sen, erweist sich damit als unbegründet.</w:t>
      </w:r>
    </w:p>
    <w:p>
      <w:r>
        <w:t>3.-</w:t>
      </w:r>
    </w:p>
    <w:p>
      <w:r>
        <w:t>Nach dem Gesagten ist die Beschwerde abzuweisen.</w:t>
      </w:r>
    </w:p>
    <w:p>
      <w:r>
        <w:t>Bei diesem Verfahrensausgang wird die Beschwerdeführerin</w:t>
      </w:r>
    </w:p>
    <w:p>
      <w:r>
        <w:t>kosten- und entschädigungspflichtig ( Art. 156 Abs. 1 und</w:t>
      </w:r>
    </w:p>
    <w:p>
      <w:r>
        <w:t>Art. 159 Abs. 2 OG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