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4P.152/2002 vom 16. Oktober 2002</w:t>
      </w:r>
    </w:p>
    <w:p>
      <w:r>
        <w:t>Bundesgericht, 2002-10-16, FR</w:t>
      </w:r>
    </w:p>
    <w:p>
      <w:r>
        <w:rPr>
          <w:b/>
        </w:rPr>
        <w:t xml:space="preserve">Quelle: </w:t>
      </w:r>
      <w:r>
        <w:t>https://mcp.opencaselaw.ch/entscheid/bger_4P.152_2002</w:t>
      </w:r>
    </w:p>
    <w:p>
      <w:r>
        <w:t>FR: TF 4P.152/2002 du 16 octobre 2002</w:t>
      </w:r>
    </w:p>
    <w:p>
      <w:r>
        <w:t>IT: TF 4P.152/2002 del 16 ottobre 2002</w:t>
      </w:r>
    </w:p>
    <w:p>
      <w:pPr>
        <w:pStyle w:val="Heading2"/>
      </w:pPr>
      <w:r>
        <w:t>Erwägungen</w:t>
      </w:r>
    </w:p>
    <w:p>
      <w:r>
        <w:rPr>
          <w:b/>
        </w:rPr>
        <w:t>E. 1.1</w:t>
      </w:r>
    </w:p>
    <w:p>
      <w:r>
        <w:t>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soulevait une question relevant de l'application du droit fédéral, le grief ne serait pas recevable, parce qu'il pouvait faire l'objet d'un recours en réforme (art. 43 al. 1 et 84 al. 2 OJ).</w:t>
      </w:r>
    </w:p>
    <w:p>
      <w:r>
        <w:t>Les recourants sont personnellement touchés par la décision attaquée, qui a pour effet d'écarter partiellement leur demande visant à une prolongation de bail d'une durée de quatre ans, de sorte qu'ils ont un intérêt personnel, actuel et juridiquement protégé à ce que cette décision n'ait pas été prise en violation de leurs droits constitutionnels; en conséquence, ils ont qualité pour recourir ( art. 88 OJ ).</w:t>
      </w:r>
    </w:p>
    <w:p>
      <w:r>
        <w:t>Interjeté en temps utile ( art. 89 al. 1 OJ ), dans la forme prévue par la loi ( art. 90 al. 1 OJ ), le recours est en principe recevable.</w:t>
      </w:r>
    </w:p>
    <w:p>
      <w:r>
        <w:rPr>
          <w:b/>
        </w:rPr>
        <w:t>E. 1.2</w:t>
      </w:r>
    </w:p>
    <w:p>
      <w:r>
        <w:t>Saisi d'un recours de droit public, le Tribunal fédéral n'examine que les griefs d'ordre constitutionnel invoqués et suffisamment motivés dans l'acte de recours ( ATF 127 I 38 consid. 3c; 127 III 279 consid. 1c; 126 III 524 consid. 1c, 534 consid. 1b; 125 I 492 consid. 1b p. 495).</w:t>
      </w:r>
    </w:p>
    <w:p>
      <w:r>
        <w:rPr>
          <w:b/>
        </w:rPr>
        <w:t>E. 2</w:t>
      </w:r>
    </w:p>
    <w:p>
      <w:r>
        <w:t>Dans un premier moyen, les recourants reprochent à l'autorité intimée d'avoir violé leur droit d'être entendus. Plus précisément, ils lui font grief d'avoir méconnu le principe du double degré de juridiction cantonal, prévu par les dispositions topiques du droit procédural genevois, en tranchant directement la question de la durée de la prolongation de bail requise, alors que le Tribunal des baux et loyers n'avait pas eu à traiter cette question, vu l' art. 272a al. 1 let. b CO , ni à procéder aux enquêtes y afférentes, puisqu'il avait admis la validité de la résiliation des baux avec effet immédiat, en application de l' art. 257f al. 4 CO .</w:t>
      </w:r>
    </w:p>
    <w:p>
      <w:r>
        <w:t>En agissant de la sorte, la Chambre d'appel aurait empêché que la question litigieuse fît l'objet du double examen complet par deux instances cantonales, tel qu'il a été voulu par le législateur genevois.</w:t>
      </w:r>
    </w:p>
    <w:p>
      <w:r>
        <w:rPr>
          <w:b/>
        </w:rPr>
        <w:t>E. 2.1</w:t>
      </w:r>
    </w:p>
    <w:p>
      <w:r>
        <w:t>La jurisprudence a déduit du droit d'être entendu, garanti par l' art. 29 al. 2 Cst. ,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15 consid. 2a/aa; 124 I 49 consid. 3a; 124 I 241 consid. 2; 124 II 132 consid. 2b; 124 V 180 consid. 1a; 124 V 372 consid. 3b).</w:t>
      </w:r>
    </w:p>
    <w:p>
      <w:r>
        <w:rPr>
          <w:b/>
        </w:rPr>
        <w:t>E. 2.2</w:t>
      </w:r>
    </w:p>
    <w:p>
      <w:r>
        <w:t>Il appert d'emblée de cette énumération que le principe du double degré de juridiction, invoqué par les recourants, ne s'inscrit nullement dans le cadre de la garantie fédérale du droit d'être entendu. La seule connexion qui se puisse concevoir, à la rigueur, entre ce principe-là et cette garantie-ci concerne le droit à la preuve. On pourrait, en effet, imaginer une situation dans laquelle une juridiction cantonale de recours, dont le pouvoir d'examen serait limité aux questions de droit, trancherait directement un problème juridique qui n'aurait pas été traité par la juridiction de première instance, sans que les parties aient eu l'occasion de fournir des preuves quant aux faits déterminants pour la solution de ce problème. Toutefois, semblable hypothèse ne se vérifie pas en l'espèce. Il ressort, en effet, de l'art. 445 al. 1 de la loi de procédure civile genevoise (LPC gen.), en liaison avec les art. 435 et 436 de la même loi, que les juges d'appel ont la possibilité d'ordonner à nouveau la comparution des parties et les actes d'instruction qui ont déjà été exécutés en première instance ou encore de compléter les preuves déjà administrées. Or, en l'occurrence, la Chambre d'appel en matière de baux et loyers a retenu sans arbitraire, contrairement à l'opinion des recourants, qu'elle disposait de tous les éléments essentiels pour la pesée des intérêts à opérer en vue de la fixation de la durée de la prolongation des baux. Le grief tiré de la prétendue violation du droit d'être entendu des recourants s'en trouve ainsi privé d'objet.</w:t>
      </w:r>
    </w:p>
    <w:p>
      <w:r>
        <w:t>Au demeurant, comme le soulignent les commentateurs de la loi de procédure civile genevoise, aucune règle de droit privé fédéral n'impose le principe du double degré de juridiction ni n'exige qu'une preuve soit soumise à l'appréciation du premier puis du second degré de juridiction. La loi genevoise ne le prescrit pas davantage, qui incline en faveur de la conception étroite dudit principe selon laquelle la Cour de justice, saisie d'un appel, peut, en procédant le cas échéant à des enquêtes, juger la contestation sans égard à ce que le premier juge n'a pas connu de l'ensemble des faits litigieux (Bertossa/Gaillard/Guyet/Schmidt, Commentaire de la loi de procédure civile du canton de Genève du 10 avril 1987, n. 4 ad art. 291 et n. 2 ad art. 307).</w:t>
      </w:r>
    </w:p>
    <w:p>
      <w:r>
        <w:t>Il suit de là que le premier moyen soulevé par les recourants est dénué de fondement.</w:t>
      </w:r>
    </w:p>
    <w:p>
      <w:r>
        <w:rPr>
          <w:b/>
        </w:rPr>
        <w:t>E. 3</w:t>
      </w:r>
    </w:p>
    <w:p>
      <w:r>
        <w:t>Dans un second moyen, intitulé "Du caractère arbitraire de la prolongation de bail accordée", les recourants reprochent à la Chambre d'appel d'avoir statué sur la question de la durée de la prolongation de bail requise alors qu'elle ne disposait pas des éléments nécessaires à une saine appréciation de la situation.</w:t>
      </w:r>
    </w:p>
    <w:p>
      <w:r>
        <w:t>En argumentant ainsi, les recourants, sous le couvert du grief d'arbitraire, invoquent en réalité une violation du droit privé fédéral. C'est, en effet, ce droit - en l'occurrence, l' art. 272 CO - qui détermine si les faits allégués par la partie chargée du fardeau de la preuve ou constatés d'office par la juridiction cantonale sont suffisants pour permettre à l'autorité saisie de statuer sur la prétention litigieuse, lorsque celle-ci relève du droit fédéral (cf. ATF 112 II 172 consid. I/2c p. 181 et les arrêts cités). Comme la voie du recours en réforme est ouverte en l'espèce, ce second moyen est irrecevable en tant qu'il met en cause l'application du droit privé fédéral, étant donné la subsidiarité absolue du recours de droit public ( art. 84 al. 2 OJ ).</w:t>
      </w:r>
    </w:p>
    <w:p>
      <w:r>
        <w:t>Le seul point sur lequel ce second moyen apparaît recevable a trait à la critique de la constatation de la Chambre d'appel selon laquelle "la situation de conflit a été entretenue essentiellement par les agissements inadmissibles des locataires". Un tel constat serait arbitraire, de l'avis des recourants, lesquels font valoir, à ce propos, que la possibilité ne leur a pas été accordée de démontrer que le différend provient en réalité de l'attitude du bailleur. Il va sans dire que cette seule affirmation ne suffit pas à établir le caractère insoutenable et, partant, arbitraire de la constatation incriminée. Qui plus est, par cette constatation, la cour cantonale reproche aux recourants d'avoir "entretenu" une situation conflictuelle, c'est-à-dire d'en avoir maintenu les effets, mais elle ne se prononce pas sur la cause véritable du conflit qui oppose depuis quelques années les recourants à l'intimé. Ainsi, quand bien même les premiers parviendraient à démontrer que le second est à l'origine de ce conflit, une telle démonstration ne suffirait pas à infirmer la constatation voulant qu'ils aient eux-mêmes entretenu la situation de conflit, quelle qu'en fût l'origine.</w:t>
      </w:r>
    </w:p>
    <w:p>
      <w:r>
        <w:t>Ce second grief est dès lors, lui aussi, dénué de fondement dans la faible mesure où il est recevable.</w:t>
      </w:r>
    </w:p>
    <w:p>
      <w:r>
        <w:rPr>
          <w:b/>
        </w:rPr>
        <w:t>E. 4</w:t>
      </w:r>
    </w:p>
    <w:p>
      <w:r>
        <w:t>Les recourants, qui succombent, devront assumer solidairement la charge des frais et dépens de la procédure fédérale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