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4P.143/2006 vom 11. September 2006</w:t>
      </w:r>
    </w:p>
    <w:p>
      <w:r>
        <w:t>Bundesgericht, 2006-09-11, FR</w:t>
      </w:r>
    </w:p>
    <w:p>
      <w:r>
        <w:rPr>
          <w:b/>
        </w:rPr>
        <w:t xml:space="preserve">Quelle: </w:t>
      </w:r>
      <w:r>
        <w:t>https://mcp.opencaselaw.ch/entscheid/bger_4P.143_2006</w:t>
      </w:r>
    </w:p>
    <w:p>
      <w:r>
        <w:t>FR: TF 4P.143/2006 du 11 septembre 2006</w:t>
      </w:r>
    </w:p>
    <w:p>
      <w:r>
        <w:t>IT: TF 4P.143/2006 del 11 settembre 2006</w:t>
      </w:r>
    </w:p>
    <w:p>
      <w:pPr>
        <w:pStyle w:val="Heading2"/>
      </w:pPr>
      <w:r>
        <w:t>Regeste</w:t>
      </w:r>
    </w:p>
    <w:p>
      <w:r>
        <w:t>procédure civile; assignation irrégulière | Procédure civile</w:t>
      </w:r>
    </w:p>
    <w:p>
      <w:pPr>
        <w:pStyle w:val="Heading2"/>
      </w:pPr>
      <w:r>
        <w:t>Erwägungen</w:t>
      </w:r>
    </w:p>
    <w:p>
      <w:r>
        <w:rPr>
          <w:b/>
        </w:rPr>
        <w:t>E. 1</w:t>
      </w:r>
    </w:p>
    <w:p>
      <w:r>
        <w:t>Le recours de droit public au Tribunal fédéral peut être exercé contre une décision cantonale pour violation des droits constitutionnels des citoyens ( art. 84 al. 1 let. a OJ ), à condition qu'elle ne soit susceptible d'aucun autre recours cantonal ou fédéral apte à redresser l'inconstitutionnalité (art. 84 al. 2, 86 al. 1 OJ). Cette condition est satisfaite en l'espèce. Aux termes de l' art. 87 al. 2 OJ , le recours de droit public n'est recevable contre des décisions préjudicielles ou incidentes, prises séparément de la décision finale, que s'il peut en résulter un préjudice irréparable; dans les autres cas, en règle générale, les décisions incidentes ne peuvent être attaquées qu'avec la décision finale ( art. 87 al. 3 OJ ). Selon la jurisprudence, la décision finale est celle qui met un terme au procès, qu'il s'agisse d'un prononcé sur le fond ou d'une décision appliquant le droit de procédure. En revanche, une décision est incidente lorsqu'elle intervient en cours de procès et constitue une simple étape vers la décision finale; elle peut avoir pour objet une question de procédure ou une question de fond jugée préalablement à la décision finale ( ATF 129 I 313 consid. 3.2 p. 316; 128 I 215 consid. 2, 123 I 325 consid. 3b p. 327). En particulier, le prononcé par lequel une autorité cantonale supérieure renvoie une affaire, pour nouvelle décision, à une autorité qui a statué en première instance est une décision incidente; ce prononcé peut toutefois être contesté par un recours séparé si l'autorité inférieure ne conserve aucune latitude de jugement et doit, au contraire, se borner à une simple décision d'exécution ( ATF 129 I 313 consid. 3.2 p. 316; 120 Ia 369 consid. 1b p. 372; voir aussi ATF 122 I 39 consid. 1 p. 41). En l'occurrence, l'arrêt attaqué ne met pas fin à la cause et il ne la renvoie pas non plus au Tribunal de première instance; celui-ci n'en a d'ailleurs pas été dessaisi. La Cour de justice a seulement statué en appel sur l'incident consécutif à l'exception de nullité de l'assignation. Néanmoins, à supposer que son arrêt subsiste et devienne exécutoire, le tribunal sera lié par ce prononcé et, en raison de la nullité de l'assignation, il ne pourra que déclarer l'irrecevabilité de la demande formée avec ladite assignation (consid. 4 ci-dessous). Le sort de cette demande est donc scellé et le Tribunal de première instance ne prendra qu'une décision d'exécution de l'arrêt de la Cour de justice. De cette situation, il résulte que l'arrêt est susceptible du recours séparé. Pour le surplus, l'exigence d'un intérêt actuel, pratique et juridiquement protégé à l'annulation de la décision attaquée ( art. 88 OJ ) est également satisfaite; les conditions légales concernant la forme et le délai du recours ( art. 30, 89 et 90 OJ ) sont aussi observées.</w:t>
      </w:r>
    </w:p>
    <w:p>
      <w:r>
        <w:rPr>
          <w:b/>
        </w:rPr>
        <w:t>E. 2</w:t>
      </w:r>
    </w:p>
    <w:p>
      <w:r>
        <w:t>Saisi d'un recours de droit public, le Tribunal fédéral n'examine que les griefs fondés sur les droits constitutionnels, invoqués et motivés de façon suffisamment détaillée dans l'acte de recours ( art. 90 al. 1 let. b OJ ; ATF 130 I 258 consid. 1.3 p. 261/262; 129 I 113 consid. 2.1; 128 III 50 consid. 1c p. 53). Il statue sur la base des faits constatés dans la décision attaquée, à moins que le recourant ne démontre que la cour cantonale a retenu ou, au contraire, ignoré de manière arbitraire certains faits déterminants ( ATF 118 Ia 20 consid. 5a).</w:t>
      </w:r>
    </w:p>
    <w:p>
      <w:r>
        <w:rPr>
          <w:b/>
        </w:rPr>
        <w:t>E. 3</w:t>
      </w:r>
    </w:p>
    <w:p>
      <w:r>
        <w:t>Une décision est arbitraire, donc contraire à l' art. 9 Cst. , lorsqu'elle viole gravement une norme ou un principe juridique clair et indiscuté, ou contredit d'une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encore faut-il que celle-ci soit arbitraire dans son résultat. Il ne suffit d'ailleurs pas non plus qu'une solution différente de celle retenue par l'autorité cantonale puisse être tenue pour également concevable, ou apparaisse même préférable ( ATF 131 I 467 consid. 3.1 p. 473/474; 129 I 8 consid. 2.1 p. 9; 128 II 259 consid. 5 p. 280/281).</w:t>
      </w:r>
    </w:p>
    <w:p>
      <w:r>
        <w:rPr>
          <w:b/>
        </w:rPr>
        <w:t>E. 4</w:t>
      </w:r>
    </w:p>
    <w:p>
      <w:r>
        <w:t>Aux termes de l' art. 72 al. 1 LPC gen., une cause est introduite en justice par le dépôt de l'assignation au greffe du tribunal saisi. Parmi d'autres indications, l'assignation doit contenir « à peine de nullité » les noms, prénoms et domicile ou résidence des parties ( art. 7 al. 1 let. b LPC gen.). De plus, selon la jurisprudence cantonale, si l'une des parties a élu domicile auprès d'un tiers, notamment auprès d'un avocat, il est aussi obligatoire de l'indiquer dans le document, toujours « à peine de nullité » (Bernard Bertossa/Louis Gaillard et al., Commentaire de la loi de procédure civile du canton de Genève du 10 avril 1987, ch. 4 ad art. 7). En l'occurrence, l'arrêt attaqué fait grief à la recourante d'avoir au contraire indiqué une élection de domicile qui n'existait pas. L'assignation est ensuite l'objet de démarches qui comprennent, en particulier, sa signification à chacune des parties autres que celle qui l'a déposée. Si l'une d'elles a un domicile élu, la signification est faite à ce domicile ( art. 17 al. 1 LPC gen.). S'il n'y a pas de domicile élu et que la partie est une personne physique dont le domicile effectif et le lieu d'activité professionnelle se trouvent à l'étranger, la signification est faite au Procureur général; ce magistrat procède ensuite selon les règles du droit international pour obtenir la signification de l'acte par les autorités du lieu de domicile ( art. 15 et 18 LPC gen.). Outre cette réglementation, la loi prescrit diverses modalités pour les significations et elle délimite les possibilités de remettre l'acte à certains tiers plutôt qu'à la partie elle-même, lorsque celle-ci ne peut pas être atteinte (art. 14, 16, 17 al. 2, 19 à 23 LPC gen.). Si une assignation a été signifiée d'une manière contraire aux dispositions légales, la signification doit être refaite mais l'instance reste liée ( art. 24 et 28 LPC gen.); si cependant l'assignation même se révèle nulle en raison d'un défaut de son contenu, selon l' art. 7 LPC gen., l'instance n'a pas été liée et la demande est jugée irrecevable ( art. 80 let. a, 81 let. a LPC gen.; Bertossa/Gaillard, op. cit., ch. 2 ad art. 28). L'arrêt présentement attaqué constate la nullité de l'assignation; il en résultera donc l'échec de l'introduction de la cause en justice et la caducité du séquestre obtenu par la recourante ( art. 280 LP ).</w:t>
      </w:r>
    </w:p>
    <w:p>
      <w:r>
        <w:rPr>
          <w:b/>
        </w:rPr>
        <w:t>E. 5</w:t>
      </w:r>
    </w:p>
    <w:p>
      <w:r>
        <w:t>Aux termes de l' art. 2 CC , chacun est tenu d'exercer ses droits selon les règles de la bonne foi (al. 1) et l'abus manifeste d'un droit n'est pas protégé par la loi (al. 2). Ces principes régissent non seulement le droit civil fédéral mais aussi le droit de procédure civile; cependant, en tant que celui-ci est édicté par les législateurs des cantons, l'interdiction de l'abus de droit appartient aux règles du droit cantonal ( ATF 83 II 345 consid. 2 p. 348; voir aussi ATF 126 I 165 consid. 3b p. 166). Un abus de droit peut être réalisé lorsqu'une institution juridique est utilisée dans un but étranger à celui qui est le sien ( ATF 126 I 165 consid. 3b p. 167; 125 V 307 consid. 2d p. 310). Par exemple, dans le domaine de la procédure civile, le Tribunal fédéral a jugé qu'il était abusif d'invoquer, à l'appui d'une exception d'incompétence, une clause contractuelle d'élection de for désignant un lieu où aucune des parties n'avait plus de domicile, de résidence ni d'établissement. A supposer que le défendeur eût de meilleures chances d'obtenir gain de cause à ce for plutôt que devant le juge effectivement saisi, cette espérance n'était pas digne de considération ( ATF 56 I 443 p. 448/449; voir aussi, concernant l'exception d'incompétence, ATF 79 II 7 consid. 3 p. 16). Le Tribunal fédéral a aussi jugé que les procédés purement dilatoires ne sont pas protégés par la loi; c'est pourquoi, selon les circonstances, la proposition de concordat présentée par le failli ne suspend pas la réalisation des biens ( ATF 120 III 94 consid. 2c p. 97). En droit civil, il y a abus de droit lorsque, notamment, le vice de forme d'un contrat est invoqué dans un but étranger aux intérêts que la forme méconnue tend à protéger ( ATF 104 II 99 consid. 4c p. 107; 112 II 330 consid. 3 p. 335; voir aussi ATF 129 III 493 consid. 5.1 p. 497); ce cas est transposable à la procédure civile car il peut survenir que l'une des parties invoque abusivement un vice de forme commis par l'autre partie. Dans le domaine de la procédure, l'interdiction de l'abus de droit peut être rapprochée de l'interdiction du formalisme excessif. Celle-ci appartient au droit constitutionnel fédéral et elle vise l'autorité saisie plutôt que les parties au procès. Le formalisme excessif, que la jurisprudence assimile à un déni de justice contraire à l' art. 29 al. 1 Cst. , est réalisé lorsque des règles de procédure sont appliquées avec une rigueur que ne justifie aucun intérêt digne de protection, au point que la procédure devient une fin en soi et empêche ou complique de manière insoutenable l'application du droit ( ATF 130 V 177 consid. 5.4.1 p. 183; 128 II 139 consid. 2a p. 142). L'excès de formalisme peut résider dans la règle de comportement qui est imposée au plaideur ou dans la sanction qui est attachée à cette règle ( ATF 125 I 166 p. 170 consid. 3a; 121 I 177 p. 179 consid. 2b/aa).</w:t>
      </w:r>
    </w:p>
    <w:p>
      <w:r>
        <w:rPr>
          <w:b/>
        </w:rPr>
        <w:t>E. 6</w:t>
      </w:r>
    </w:p>
    <w:p>
      <w:r>
        <w:t>Le Tribunal fédéral s'est prononcé sur la portée de notifications irrégulières au regard de l' art. 64 LP . Selon la jurisprudence, faute d'intérêt juridiquement pertinent, le destinataire d'un acte de poursuite n'est pas autorisé à porter plainte au seul motif que l'acte a été remis à une personne qui n'avait pas qualité pour le recevoir, s'il lui est néanmoins parvenu et qu'il s'est trouvé en mesure d'exercer ses droits ( ATF 61 III 157 consid. 1 p. 158/159; 88 III 12 consid. 1 p. 15 in medio; 112 III 81 consid. 2b p. 84; voir aussi ATF 120 III 114 consid. 3b p. 116 et 128 III 465 consid. 1 p. 466). En droit administratif fédéral, il est aussi admis qu'une notification défectueuse produit ses effets si elle a atteint son but en dépit de l'irrégularité; on rattache ce principe aux règles de la bonne foi ( ATF 111 V 149 consid. 4c p. 150; voir aussi ATF 122 I 97 consid. 3a/aa p. 99 in medio). Ce même principe est parfois admis en doctrine (Rio Kamber, Das Zustellungswesen im schweizerischen Zivilprozess, thèse Zurich 1957, p. 106) et consacré par la législation ou la jurisprudence de divers cantons (Yves Donzallaz, La notification en droit interne suisse, Berne 2002, ch. 1200 p. 566), mais il est aussi contesté: reconnaître un effet guérisseur au succès factuel d'une notification viciée peut avoir pour conséquence que le respect des exigences légales soit peu à peu abandonné, ces dernières étant réduites à de simples règles d'ordre et les justiciables étant déchus du droit d'obtenir des communications transmises par la voie et selon les modalités légales (Donzallaz, loc. cit., ch. 1201; Bertossa/Gaillard, op. cit., ch. 4 ad art. 7 LPC gen., approuvant la jurisprudence de la Cour de justice qui rejette ledit principe).</w:t>
      </w:r>
    </w:p>
    <w:p>
      <w:r>
        <w:rPr>
          <w:b/>
        </w:rPr>
        <w:t>E. 7</w:t>
      </w:r>
    </w:p>
    <w:p>
      <w:r>
        <w:t>Il est établi que l'assignation déposée le 22 avril 2005 contenait une indication inexacte, relative à une élection de domicile qui n'existait pas, et que ce défaut a provoqué une signification incorrecte au regard des art. 17 al. 1, 15 et 18 LPC gen. Pour apprécier si ce défaut de l'assignation peut légitimement entraîner l'invalidation de l'instance et, avec elle, la caducité du séquestre, il faut prendre en considération les intérêts que ces dispositions ont pour objet de préserver et qui ont été, le cas échéant, lésés par la signification irrégulière. D'une manière générale, les règles sur la signification tendent principalement à ce que l'acte concerné parvienne sûrement à son véritable destinataire, même si l'officier public ne le rencontre pas directement, et à ce que les opérations accomplies dans ce but soient constatées avec certitude (cf. Pierre-François Bellot, Loi sur la procédure civile du canton de Genève avec l'exposé des motifs, 4e éd., Genève 1877, p. 23; Donzallaz, op. cit., ch. 21 p. 66). En cas de signification à une personne qui ne peut pas recevoir l'acte faute d'y être habilitée par la loi ou par une élection de domicile du destinataire, l'opération ne présente pas de garanties suffisantes d'efficacité; c'est pourquoi elle est frappée de nullité aux termes de l' art. 24 LPC gen. Par suite de la signification effectuée à l'étude de Me Berger, l'assignation est parvenue à l'intimé; ce fait est incontesté et il n'existe aucun doute à ce sujet. Une nouvelle signification du même acte n'aurait donc aucune utilité; il n'en résulterait que des frais et un retard supplémentaires. Quant à l'invalidation de l'instance, elle n'a non plus aucune justification. Elle répond sans doute à un intérêt très important de l'intimé car celui-ci recouvrerait la libre disposition des biens placés sous séquestre; cet intérêt n'a cependant aucun rapport avec l'objet des dispositions transgressées. Auparavant, l'intimé avait aussi intérêt à ce que l'assignation fût signifiée par l'intermédiaire du Procureur général et des autorités de son domicile aux Etats-Unis, de sorte que la recourante se serait heurtée aux délais et aux difficultés déjà rencontrés lors de la notification du commandement de payer, mais cet intérêt n'était pas non plus digne de considération. Dans ces circonstances, conformément à l'opinion de la recourante, l'exception de nullité de l'assignation procédait d'un abus de droit. Pour le surplus, l'intérêt général au respect des lois de procédure ne permet pas d'imposer des sanctions ayant pour effet de compliquer ou d'entraver l'action en justice. Il est vrai que les dispositions relatives aux significations ne tendent pas seulement à leur propre sûreté et efficacité; le cas échéant, d'autres intérêts sont aussi en jeu. Par exemple, la faculté d'élire domicile auprès d'un tiers, notamment à l'adresse professionnelle d'un avocat, permet au plaideur de s'assurer un conseil plus rapide, de parer au risque que des actes judiciaires ne lui parviennent pas alors qu'il serait censé les avoir reçus, et de protéger sa vie privée en s'évitant de recevoir des significations à son domicile personnel. Si des sanctions doivent être prévues pour préserver des intérêts de ce genre, qui sont d'ailleurs hors de cause dans la présente affaire, elles ne peuvent pas consister dans des formalités inutiles et dilatoires, imposées à la partie en faute, ni dans la perte des mesures conservatoires que cette partie a éventuellement obtenues. En l'occurrence, c'est précisément cette dernière sanction qui est imposée à la recourante. Compte tenu que la signification par l'intermédiaire de Me Berger n'avait lésé aucun intérêt public ni aucun intérêt légitime de l'intimé, elle est caractéristique du formalisme excessif. En accueillant l'exception de nullité soulevée par cette dernière partie, la Cour de justice a entériné un abus de droit, ce qui choque le sentiment de la justice et de l'équité. Son arrêt doit donc être annulé pour violation de l' art. 9 Cst. Il n'est pas nécessaire d'examiner si de plus, selon l'argumentation de la recourante, cette autorité a arbitrairement méconnu les limites de son pouvoir d'examen en cas d'appel d'un jugement rendu en dernier ressort (cf. ATF 132 I 13 consid. 5.2 p. 18).</w:t>
      </w:r>
    </w:p>
    <w:p>
      <w:r>
        <w:rPr>
          <w:b/>
        </w:rPr>
        <w:t>E. 8</w:t>
      </w:r>
    </w:p>
    <w:p>
      <w:r>
        <w:t>A titre de partie qui succombe, l'intimé acquittera l'émolument judiciaire et les dépens à allouer à la recourante qui obtient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