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4P.141/2000 vom 17. Oktober 2000</w:t>
      </w:r>
    </w:p>
    <w:p>
      <w:r>
        <w:t>Bundesgericht, 2000-10-17, FR</w:t>
      </w:r>
    </w:p>
    <w:p>
      <w:r>
        <w:rPr>
          <w:b/>
        </w:rPr>
        <w:t xml:space="preserve">Quelle: </w:t>
      </w:r>
      <w:r>
        <w:t>https://mcp.opencaselaw.ch/entscheid/bger_4P.141_2000</w:t>
      </w:r>
    </w:p>
    <w:p>
      <w:r>
        <w:t>FR: TF 4P.141/2000 du 17 octobre 2000</w:t>
      </w:r>
    </w:p>
    <w:p>
      <w:r>
        <w:t>IT: TF 4P.141/2000 del 17 ottobre 2000</w:t>
      </w:r>
    </w:p>
    <w:p>
      <w:pPr>
        <w:pStyle w:val="Heading2"/>
      </w:pPr>
      <w:r>
        <w:t>Regeste</w:t>
      </w:r>
    </w:p>
    <w:p>
      <w:r>
        <w:t>Procédure civile</w:t>
      </w:r>
    </w:p>
    <w:p>
      <w:pPr>
        <w:pStyle w:val="Heading2"/>
      </w:pPr>
      <w:r>
        <w:t>Erwägungen</w:t>
      </w:r>
    </w:p>
    <w:p>
      <w:r>
        <w:rPr>
          <w:b/>
        </w:rPr>
        <w:t>E. 1</w:t>
      </w:r>
    </w:p>
    <w:p>
      <w:r>
        <w:t>Le Tribunal fédéral examine d'office et avec une pleine cognition la recevabilité des recours qui lui sont soumis ( ATF 126 I 81 consid. 1 p. 83, 207 consid. 1; 126 III 274 consid. 1 p. 275; 125 I 253 consid. 1a p. 254, 412 consid. 1a p. 414). De jurisprudence constante, le recours de droit public a, sauf exceptions non réalisées en l'espèce, une fonction purement cassatoire; le recourant ne peut ainsi conclure qu'à l'annulation de la décision attaquée ( ATF 125 I 104 consid. 1b p. 107; 124 I 231 consid. 1 p. 232; 123 I 87 consid. 5 p. 96). Cependant, les conclusions demandant le simple renvoi à l'autorité précédente sont admissibles, car cette mesure est inhérente à l'annulation de la décision; en revanche, il n'en va pas de même de celles qui entendent prescrire le sens dans lequel l'autorité devra trancher ( ATF 125 I 104 consid. 1b p. 107 et les arrêts cités). Le recours est dès lors irrecevable dans la mesure où il tend à obtenir le renvoi pour nouvelle décision au sens des considérants.</w:t>
      </w:r>
    </w:p>
    <w:p>
      <w:r>
        <w:rPr>
          <w:b/>
        </w:rPr>
        <w:t>E. 2</w:t>
      </w:r>
    </w:p>
    <w:p>
      <w:r>
        <w:t>a) Invoquant les art. 9 et 29 Cst. , le recourant reproche à la cour cantonale d'avoir retenu un état de fait arbitraire et d'avoir procédé à une appréciation arbitraire des preuves. Il ne s'agit pas là de deux moyens distincts; en réalité, toutes les critiques formulées dans le recours consistent à se plaindre d'arbitraire dans l'appréciation des preuves, grief qui tombe sous le coup de l' art. 9 Cst. b) L'interdiction de l'arbitraire, déduite de l' art. 4 aCst. avant le 1er janvier 2000, est expressément consacrée à l' art. 9 Cst. , déjà en vigueur lors du prononcé du jugement attaqué. Selon la jurisprudence rendue sous l'ancien droit et toujours valable actuellement ( ATF 126 I 169 consid. 3a), une décision n'est pas arbitraire du seul fait qu'une autre solution pourrait se défendre, voire même être préférable. Le Tribunal fédéral n'annulera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Par ailleurs, il ne suffit pas que la motivation critiquée soit insoutenable; encore faut-il que la décision apparaisse arbitraire dans son résultat ( ATF 125 I 166 consid. 2a; 125 II 10 consid. 3a p. 15, 129 consid. 5b p. 134; 124 I 247 consid. 5 p. 250; 124 V 137 consid. 2b).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Il appartient au recourant de chercher à démontrer, par une argumentation précise, que la décision incriminée est insoutenable ( art. 90 al. 1 let. b OJ ; ATF 122 I 70 consid. 1c p. 73; 119 Ia 197 consid. 1d p. 201; 117 Ia 393 consid. 1c p. 395; 110 Ia 1 consid. 2a p. 3); le Tribunal fédéral n'entre pas en matière sur les griefs motivés de façon insuffisante ou sur des critiques purement appellatoires ( ATF 125 I 492 consid. 1b p. 495; 117 Ia 412 consid. 1c p. 415).</w:t>
      </w:r>
    </w:p>
    <w:p>
      <w:r>
        <w:rPr>
          <w:b/>
        </w:rPr>
        <w:t>E. 3</w:t>
      </w:r>
    </w:p>
    <w:p>
      <w:r>
        <w:t>En premier lieu, le recourant fait grief à la Cour de justice d'avoir constaté des faits manifestement inexacts et d'avoir adopté une chronologie à l'évidence erronée. a) Ce n'est ainsi pas le recourant qui aurait approché l'intimé en 1995, mais bien ce dernier qui aurait proposé au recourant de mettre une partie de son terrain à disposition pour recueillir des fauves. Il est incontesté que les parties avaient en vue la construction d'un abri pour fauves aux frais du recourant sur la parcelle de l'intimé. Cela étant, il importe peu de savoir lequel des deux partenaires a engagé les pourparlers pour déterminer si l'intimé peut être rendu fautif de l'échec de ce projet commun. Même si la cour cantonale a retenu de manière inexacte que la première démarche émanait du recourant, cette constatation demeure sans incidence sur l'issue du litige de sorte que le moyen est mal fondé. b) Selon le recourant, la cour cantonale a également retranscrit de manière manifestement inexacte les paroles du notaire Christen lors de l'entretien du 2 octobre 1996. A cette occasion, le notaire n'aurait en effet ni mentionné une durée de vingt ans pour le droit de superficie, ni conseillé de compléter l'autorisation de construire en indiquant l'affectation réelle de l'abri projeté. Certes, l'arrêt attaqué ne laisse pas apparaître avec précision la date à laquelle Me Christen a prononcé ces paroles. La cour cantonale n'affirme toutefois nulle part qu'elles le furent lors de la rencontre du 2 octobre 1996, au sujet de laquelle elle se borne à noter que le notaire exposa la situation juridique au recourant. Au contraire, le paragraphe qui précède le passage incriminé précise que "durant les six mois qui ont suivi [la réunion du 2 octobre 1996], le notaire eut des entretiens téléphoniques, tant avec Gross qu'avec Guerne" (arrêt attaqué p. 4). Le grief, fondé sur une mauvaise lecture de la décision entreprise, ne peut être que rejeté. c) Plus loin, le recourant soutient que, lors de l'entretien chez le notaire du 31 juillet 1997, l'intimé a soudain posé d'autres conditions à la conclusion du contrat de superficie que celles initialement discutées et convenues. Le recourant ne précise pas quelles sont ces nouvelles conditions. S'agit-il de la durée limitée à vingt ans du droit de superficie et de la nécessité de compléter l'autorisation de construire, exigences que le recourant met dans la bouche du notaire quelques lignes plus haut? On l'ignore et, au demeurant, peu importe. En effet, la critique du recourant, fondée sur une affirmation non étayée, est de nature appellatoire et se révèle par conséquent irrecevable.</w:t>
      </w:r>
    </w:p>
    <w:p>
      <w:r>
        <w:rPr>
          <w:b/>
        </w:rPr>
        <w:t>E. 4</w:t>
      </w:r>
    </w:p>
    <w:p>
      <w:r>
        <w:t>Le recourant reproche ensuite à la cour cantonale d'avoir omis de prendre en compte des faits déterminants pour la solution du litige. a) La Chambre civile aurait ainsi dû relever que le notaire Christen avait été recommandé au recourant par l'intimé et que, de surcroît, il était le petit-cousin de ce dernier. Fût-elle avérée, cette constatation n'était pas propre à influer sur le sort de la cause. Le recourant ne tente du reste aucune explication à ce sujet. L'arbitraire ne saurait être retenu sur ce point. b) Selon le recourant, il était essentiel de constater, ce que la cour cantonale n'a pas fait, que l'intimé avait expressément accepté la stratégie de l'architecte Corazzini consistant à présenter le projet dans la demande d'autorisation de construire comme un agrandissement de la clinique vétérinaire. En effet, en refusant par la suite ce mode de procéder, l'intimé a opéré un revirement contraire aux règles de la bonne foi, dont il doit assumer les conséquences. Il résulte clairement des faits établis dans l'arrêt attaqué que l'intimé a signé la demande d'autorisation de construire, qui comportait la mention "agrandissement clinique vétérinaire". Il s'ensuit que l'intimé approuvait la "stratégie de l'architecte", pour reprendre les termes du recourant, sans qu'il soit nécessaire de le spécifier. En revanche, le revirement de l'intimé, dont fait état le recourant, ne ressort pas de la décision entreprise; à ce propos, le recourant ne fournit aucun élément permettant de conclure que la cour cantonale aurait arbitrairement omis de constater un changement d'attitude de la part de l'intimé. Faute de motivation, le moyen est irrecevable. c) Le recourant fait également grief à la Chambre civile d'avoir arbitrairement écarté le témoignage d'Antonio Leitao, l'entrepreneur qui a effectué les travaux de sondages et posé les canalisations dans la foulée. Selon celui-ci, la décision de poser les canalisations a été prise sur place par les deux parties et lui-même; l'intimé aurait au surplus demandé l'installation de deux attentes provisoires en vue de l'évacuation des eaux du parking de sa clinique. Il s'agit là de l'unique témoignage indiquant que l'intimé a expressément approuvé la pose des canalisations. Il émane en outre d'une personne qui, selon un fait non contesté de l'arrêt attaqué, a passé avec le recourant une transaction qui lui permettrait de récupérer une partie de sa créance au cas où l'intimé succomberait. Un tel témoignage apparaît d'emblée comme sujet à caution. Il n'est en tout cas pas arbitraire de le considérer comme tel. De plus, Leitao ne fait pas mention de l'architecte Corazzini. Or, entendu comme témoin, celui-ci a affirmé avoir pris sur lui d'ordonner à l'entreprise Leitao de tirer les égouts. Dans ces conditions, le grief d'arbitraire ne peut être que rejeté.</w:t>
      </w:r>
    </w:p>
    <w:p>
      <w:r>
        <w:rPr>
          <w:b/>
        </w:rPr>
        <w:t>E. 5</w:t>
      </w:r>
    </w:p>
    <w:p>
      <w:r>
        <w:t>a) Enfin, le recourant estime que la cour cantonale a fait preuve d'arbitraire en lui attribuant la rupture des pourparlers, qu'elle date du 31 juillet 1997. A son avis, les motifs avancés dans l'arrêt attaqué pour justifier cette rupture ne reposent en outre sur aucun élément du dossier. b) La constatation selon laquelle le recourant a rompu les pourparlers à l'issue de la rencontre chez Me Christen du 31 juillet 1997 est effectivement entachée d'arbitraire. Certes, lors de cette réunion, les parties ne sont pas parvenues, pour un motif indéterminé, à conclure un contrat de superficie. Rien n'indique toutefois qu'à ce moment-là, le recourant ait décidé de ne plus poursuivre la discussion. Au contraire, il a encore rencontré l'intimé le 20 août 1997, puis, par l'intermédiaire de son avocat, lui a fixé un ultimatum pour conclure le contrat de superficie. Du reste, aucun des motifs énoncés par la cour cantonale n'est propre à expliquer une rupture des pourparlers de la part du recourant; en réalité, il s'agit à chaque fois de raisons qui plaident en faveur du maintien des négociations. Au demeurant, comme le recourant le fait remarquer à juste titre, lesdits motifs constituent autant de procès d'intention. En effet, la cour cantonale ne les relie jamais à un ou des faits déterminés. Ainsi, par exemple, la politique du fait accompli reproché au recourant se heurte au témoignage de Corazzini, qui affirme avoir "pris sur lui" d'ordonner la pose des canalisations après les sondages nécessaires à l'établissement de l'assiette de la servitude; au considérant 5 de son arrêt, la Chambre civile relève d'ailleurs expressément que ces travaux ont été exécutés à la demande de l'architecte. L'attribution au recourant de la rupture des pourparlers apparaît d'autant plus insoutenable que le conseil de l'intimé a rédigé, le 17 septembre 1997, une lettre dans laquelle il déclare expressément que son mandant l'a chargé de notifier au mandataire du recourant que les pourparlers sont rompus. Manifestement, la cour cantonale ne pouvait à ce sujet se contenter de qualifier ce courrier de réponse "malhabile" à la lettre de l'avocat du recourant du 8 septembre 1997. Savoir qui a rompu les pourparlers est un élément important pour déterminer si une culpa in contrahendo peut être retenue à la charge de l'une des parties. La constatation entachée en l'espèce d'arbitraire étant propre à influer sur l'issue du litige, il se justifie dès lors d'admettre le recours dans la mesure de sa recevabilité et d'annuler l'arrêt attaqué. Il appartiendra à la cour cantonale de se prononcer sur le caractère fautif ou non de la rupture des pourparlers signifiée par l'intimé en date du 17 septembre 1997.</w:t>
      </w:r>
    </w:p>
    <w:p>
      <w:r>
        <w:rPr>
          <w:b/>
        </w:rPr>
        <w:t>E. 6</w:t>
      </w:r>
    </w:p>
    <w:p>
      <w:r>
        <w:t>L'intimé, qui succombe, supportera les frais de la procédure et versera au recourant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