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4P.137/2006 vom 20. September 2006</w:t>
      </w:r>
    </w:p>
    <w:p>
      <w:r>
        <w:t>Bundesgericht, 2006-09-20, DE</w:t>
      </w:r>
    </w:p>
    <w:p>
      <w:r>
        <w:rPr>
          <w:b/>
        </w:rPr>
        <w:t xml:space="preserve">Quelle: </w:t>
      </w:r>
      <w:r>
        <w:t>https://mcp.opencaselaw.ch/entscheid/bger_4P.137_2006</w:t>
      </w:r>
    </w:p>
    <w:p>
      <w:r>
        <w:t>FR: TF 4P.137/2006 du 20 septembre 2006</w:t>
      </w:r>
    </w:p>
    <w:p>
      <w:r>
        <w:t>IT: TF 4P.137/2006 del 20 settembre 2006</w:t>
      </w:r>
    </w:p>
    <w:p>
      <w:pPr>
        <w:pStyle w:val="Heading2"/>
      </w:pPr>
      <w:r>
        <w:t>Regeste</w:t>
      </w:r>
    </w:p>
    <w:p>
      <w:r>
        <w:t>Art. 9 BV (Zivilprozess; Auftrag; Honorarrechnung) | Zivilprozess</w:t>
      </w:r>
    </w:p>
    <w:p>
      <w:pPr>
        <w:pStyle w:val="Heading2"/>
      </w:pPr>
      <w:r>
        <w:t>Erwägungen</w:t>
      </w:r>
    </w:p>
    <w:p>
      <w:r>
        <w:rPr>
          <w:b/>
        </w:rPr>
        <w:t>E. 1.1</w:t>
      </w:r>
    </w:p>
    <w:p>
      <w:r>
        <w:t>Gemäss Art. 90 Abs. 1 lit. b OG muss die Beschwerdeschrift insbesondere die wesentlichen Tatsachen und eine kurz gefasste Darlegung darüber enthalten, welche verfassungsmässigen Rechte bzw. welche Rechtsgrundsätze inwiefern sie durch den angefochtenen Entscheid verletzt worden sind. Das Bundesgericht prüft im Verfahren der staatsrechtlichen Beschwerde nur klar und detailliert erhobene und, soweit möglich, belegte Rügen ( BGE 130 I 258 E. 1.3 S. 261 f.). Die Beschwerdeführer müssen in Auseinandersetzung mit den Erwägungen des angefochtenen Entscheides die als verletzt behaupteten Verfassungsbestimmungen nennen und im Einzelnen dartun, inwiefern diese verletzt sein sollen (Urteile 1P.270/2005 vom 26. Mai 2005 E. 1.3; 1P.235/2005 vom 7. September 2005 E. 1.2; 1A.150/2003 vom 6. Januar 2004 E. 1.2.2). Das gilt auch für Rügen der Verletzung des Willkürverbots von Art. 9 BV . Es genügt nicht, wenn in der Beschwerde einfach behauptet wird, der angefochtene Entscheid sei willkürlich. Vielmehr ist anhand der angefochtenen Subsumtion im Einzelnen aufzuzeigen, inwiefern der Entscheid willkürlich, d.h. im Ergebnis offensichtlich unhaltbar ist ( BGE 120 Ia 31 E. 4b S. 40 ; 130 I 258 E. 1.3 S. 262). Dies ist insbesondere dann zu bejahen, wenn er eine Norm oder einen unumstrittenen Rechtsgrundsatz krass verletzt ( BGE 131 I 57 E. 2 S. 61 mit Hinweisen). Auf ungenügend begründete Rügen und rein appellatorische Kritik am angefochtenen Entscheid tritt das Bundesgericht nicht ein ( BGE 130 I 258 E. 1.3 S. 262).</w:t>
      </w:r>
    </w:p>
    <w:p>
      <w:r>
        <w:rPr>
          <w:b/>
        </w:rPr>
        <w:t>E. 2</w:t>
      </w:r>
    </w:p>
    <w:p>
      <w:r>
        <w:t>Der Beschwerdeführer rügt, mit der Verweigerung der Annahme der zusätzlichen Beweismittel sei der Anspruch auf ein faires bzw. gerechtes Verfahren gemäss Art. 29 BV verletzt worden. Das Obergericht habe nicht beachtet, dass er vor erster Instanz noch keine Veranlassung gehabt habe, diese Beweismittel einzureichen. Es habe daher kantonales Prozessrecht willkürlich angewendet, wenn es angenommen habe, die nachträglichen Beweisanträge seien verspätet gewesen. Der Beschwerdeführer legt nicht dar, weshalb er erst durch das erstinstanzliche Urteil zur Einreichung der nachträglichen Beweisanträge veranlasst worden sei, weshalb die entsprechende Willkürrüge nicht rechtsgenüglich begründet wird. Damit entbehrt die Rüge der Verletzung von Art. 29 BV einer Grundlage.</w:t>
      </w:r>
    </w:p>
    <w:p>
      <w:r>
        <w:rPr>
          <w:b/>
        </w:rPr>
        <w:t>E. 3.1</w:t>
      </w:r>
    </w:p>
    <w:p>
      <w:r>
        <w:t>Alsdann rügt der Beschwerdeführer, das Obergericht habe mit der Anwendung der St. Galler Honorarordnung die Wirtschaftsfreiheit gemäss Art. 27 BV verletzt. Zur Begründung bringt der Beschwerdeführer zusammengefasst vor, er habe die Verpflichtung zum Hinweis auf die St. Galler Honorarordnung gemäss Art. 2 Abs. 3 HonO/SG nicht gekannt und auch nicht kennen müssen, da sie ungewöhnlich sei. Zudem sei Art. 2 Abs. 3 HonO/SG als blosse Ordnungsvorschrift zu verstehen. Diese Regelung verstosse gegen Art. 12 lit. i des Bundesgesetzes über die Freizügigkeit der Anwältinnen und Anwälte (BGFA) und könne daher keine gültige gesetzliche Grundlage für eine Einschränkung der Wirtschaftsfreiheit bilden, zumal sie bloss in Reglementsform erlassen worden sei. In jedem Fall sei die Einschränkung nicht verhältnismässig, was sich daraus ergebe, dass andere Kantone eine solche Bestimmung nicht kennen würden.</w:t>
      </w:r>
    </w:p>
    <w:p>
      <w:r>
        <w:rPr>
          <w:b/>
        </w:rPr>
        <w:t>E. 3.2</w:t>
      </w:r>
    </w:p>
    <w:p>
      <w:r>
        <w:t>Diese Angaben genügen den genannten Anforderungen an die Begründung einer staatsrechtlichen Beschwerde nicht, da der Beschwerdeführer sich nicht hinreichend mit den Ausführungen des Obergerichts bzw. des Landesgerichts des Kantons Uri zur Zulässigkeit der Einschränkung der Wirtschaftsfreiheit durch kantonale Honorarordnungen auseinandersetzt und er nicht aufzuzeigen vermag, inwiefern eine Verletzung der Wirtschaftsfreiheit vorliegen soll. Dies ist auch nicht ersichtlich, da die vom Beschwerdeführer angerufene Ungewöhlichkeitsregel nur auf allgemeine Geschäftsbedingungen Anwendung findet und der Beschwerdeführer als Anwalt das anwendbare Recht zu kennen hat. Die fehlende Kenntnis von Art. 2 Abs. 3 HonO/SG vermag daher dem Beschwerdeführer nicht zu helfen. Weiter zeigt dieser nicht auf, inwiefern es unhaltbar sein soll, die in dieser kantonalen Bestimmung genannten Voraussetzungen als Gültigkeitsvoraussetzungen für abweichende Parteivereinbarungen zu verstehen. Auch wird in der Beschwerde nicht näher begründet, weshalb ein Verstoss gegen Art. 12 lit. i BGFA vorliegen soll, was auch nicht ersichtlich ist. Wenn es dort heisst, der Rechtsanwalt kläre seine Klientschaft über seine Rechnungsstellung auf und informiere sie periodisch oder auf Verlangen über die Höhe des geschuldeten Honorars, so ist damit bundesrechtlich nicht zwingend vorgegeben, die Höhe des Honorars liege im freien Ermessen der Beteiligten. Zudem lässt der Beschwerdeführer ausser Acht, dass Art. 2 Abs. 3 HonO/SG die Höhe des Honorars gerade nicht festlegt, sondern den Parteien insoweit die volle Freiheit belässt, weshalb keine schwerwiegende Einschränkung der Wirtschaftsfreiheit vorliegt und diese damit nicht gemäss Art. 36 Abs. 1 BV im Gesetz selbst vorgesehen sein muss. Schliesslich zeigt der Beschwerdeführer nicht auf, inwiefern es unverhältnismässig sein soll, den Hinweis auf den staatlichen Tarif zu verlangen, damit eine abweichende Vereinbarung gültig ist. Der Hinweis, andere Kantone würden eine solche Vorschrift nicht kennen, genügt dazu nicht.</w:t>
      </w:r>
    </w:p>
    <w:p>
      <w:r>
        <w:rPr>
          <w:b/>
        </w:rPr>
        <w:t>E. 4</w:t>
      </w:r>
    </w:p>
    <w:p>
      <w:r>
        <w:t>Weiter führt der Beschwerdeführer aus, er erlaube sich stichwortartig Gegenbemerkungen zur Urteilsbegründung der ersten Instanz, auf welche das Obergericht verweise. In der Folge rügt der Beschwerdeführer, die erste Instanz sei in Willkür verfallen, wenn sie angenommen habe, seine Honorarrechnung könne nicht Grundlage der Bemessung des geschuldeten Honorars bilden, weil das angewendete Zeiterfassungssystem zu ungenau und Zeitaufwand in nicht gebotenem Ausmass berücksichtigt worden sei. Der Beschwerdeführer legt jedoch nicht dar, inwiefern diese Annahmen im Ergebnis offensichtlich unhaltbar sein sollen, sondern übt diesbezüglich bloss appellatorische Kritik, auf die nicht einzutreten ist.</w:t>
      </w:r>
    </w:p>
    <w:p>
      <w:r>
        <w:rPr>
          <w:b/>
        </w:rPr>
        <w:t>E. 5</w:t>
      </w:r>
    </w:p>
    <w:p>
      <w:r>
        <w:t>Nach dem Gesagten ist auf die Beschwerde insgesamt nicht einzutreten. Gemäss dem Ausgang des Verfahrens sind die Kosten dem Beschwerdeführer aufzuerlegen ( Art. 156 Abs. 1 OG ). Eine Entschädigung an den Beschwerdegegner entfällt, da dieser sich im bundesgerichtlichen Verfahren nicht hat vernehmen 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