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4P.131/2005 vom 5. Oktober 2005</w:t>
      </w:r>
    </w:p>
    <w:p>
      <w:r>
        <w:t>Bundesgericht, 2005-10-05, FR</w:t>
      </w:r>
    </w:p>
    <w:p>
      <w:r>
        <w:rPr>
          <w:b/>
        </w:rPr>
        <w:t xml:space="preserve">Quelle: </w:t>
      </w:r>
      <w:r>
        <w:t>https://mcp.opencaselaw.ch/entscheid/bger_4P.131_2005</w:t>
      </w:r>
    </w:p>
    <w:p>
      <w:r>
        <w:t>FR: TF 4P.131/2005 du 5 octobre 2005</w:t>
      </w:r>
    </w:p>
    <w:p>
      <w:r>
        <w:t>IT: TF 4P.131/2005 del 5 ottobre 2005</w:t>
      </w:r>
    </w:p>
    <w:p>
      <w:pPr>
        <w:pStyle w:val="Heading2"/>
      </w:pPr>
      <w:r>
        <w:t>Regeste</w:t>
      </w:r>
    </w:p>
    <w:p>
      <w:r>
        <w:t>art. 9 Cst.; droit cantonal; appréciation des preuves | 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 art. 84 al. 2 et art. 86 al. 1 OJ ). Les recourants sont personnellement touchés par l'arrêt entrepris, puisque la Chambre d'appel a rejeté leurs conclusions en annulation du congé. Ils ont ainsi un intérêt personnel, actuel et juridiquement protégé à ce que cette décision n'ait pas été adoptée en violation de leurs droits constitutionnels; en conséquence, la qualité pour recourir doit leur être reconnue ( art. 88 OJ ).</w:t>
      </w:r>
    </w:p>
    <w:p>
      <w:r>
        <w:rPr>
          <w:b/>
        </w:rPr>
        <w:t>E. 1.2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le recourant n'établisse que l'autorité cantonale a constaté les faits de manière inexacte ou incomplète en violation de la Constitution fédérale ( ATF 118 Ia 20 consid. 5a).</w:t>
      </w:r>
    </w:p>
    <w:p>
      <w:r>
        <w:rPr>
          <w:b/>
        </w:rPr>
        <w:t>E. 2</w:t>
      </w:r>
    </w:p>
    <w:p>
      <w:r>
        <w:t>Dans un premier moyen, les recourants reprochent à la cour cantonale une application insoutenable du droit de procédure civile genevois. A leur avis, les pièces n°s 41 à 43 du chargé de l'intimé ne pouvaient être prises en compte comme éléments probants du motif réel de la résiliation du bail, dès lors que leur contenu aurait dû faire l'objet d'une preuve testimoniale au sens des art. 215 ss de la loi de procédure civile genevoise (LPC/GE).</w:t>
      </w:r>
    </w:p>
    <w:p>
      <w:r>
        <w:rPr>
          <w:b/>
        </w:rPr>
        <w:t>E. 2.1</w:t>
      </w:r>
    </w:p>
    <w:p>
      <w:r>
        <w:t>Le Tribunal fédéral revoit l'interprétation et l'application du droit cantonal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Si elle ne s'avère pas déraisonnable ou manifestement contraire au sens et au but de la législation en cause, l'interprétation défendue par la cour cantonale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131 I 217 consid. 2.1 p. 219; 129 I 8 consid. 2.1 p. 9, 173 consid. 3.1 p. 178 et les arrêts cités).</w:t>
      </w:r>
    </w:p>
    <w:p>
      <w:r>
        <w:rPr>
          <w:b/>
        </w:rPr>
        <w:t>E. 2.2</w:t>
      </w:r>
    </w:p>
    <w:p>
      <w:r>
        <w:t>Devant les instances cantonales, les locataires soutenaient que le congé signifié par le bailleur devait être annulé en application de l' art. 271a al. 1 let. a CO . A leur sens, l'intimé avait résilié le contrat parce qu'ils avaient fait valoir de bonne foi des prétentions découlant du bail, l'intention affichée par le bailleur de reprendre l'exploitation du restaurant ne constituant qu'un prétexte. Or, la cour cantonale a retenu en fait que le motif du congé résidait bien dans la volonté de l'intimé de reprendre la gestion du café-restaurant X.________. Dans son appréciation des preuves, elle a notamment constaté que les témoins entendus par le Tribunal des baux et loyers avaient déclaré de manière probante que l'intimé envisageait un tel retour dès le début 2001. Et d'ajouter que «plusieurs pièces du dossier attestent que B.________ a renoncé à poursuivre certaines activités professionnelles dès le mois d'août 2001 en raison de sa volonté de reprendre l'exploitation de son restaurant.» Les documents en question sont les pièces n°s 41 et 42 du chargé de l'intimé du 21 décembre 2001; il convient de préciser que, contrairement à ce que les recourants affirment, la pièce n° 43 concerne un autre sujet et n'a pas été retenue comme élément de preuve par la cour cantonale. La pièce n° 41 est une attestation signée du directeur du «Foyer Z.________»; il y est indiqué qu'en août 2001, l'intimé a informé le directeur qu'il ne pourrait plus assumer des remplacements comme cuisinier dans l'institution en raison de la reprise de son restaurant. Quant à la pièce n° 42, il s'agit d'une attestation similaire de C.________, directeur du restaurant «Y.________» dans lequel l'intimé occupait un emploi de serveur à temps partiel. Aux termes de l' art. 222 al. 1 LPC /GE, toute personne capable de discernement et régulièrement citée est tenue de comparaître comme témoin pour déposer sous la foi du serment. Dans la procédure civile genevoise, seule la déposition orale devant le juge saisi a valeur de témoignage, si l'on excepte les cas où une déclaration est recueillie par voie de commission rogatoire (Bertossa/Gaillard/Guyet/Schmidt, Commentaire de la loi de procédure civile genevoise, tome II, n. 1 ad art. 222). Les déclarations écrites de tiers se limitant à attester des faits pour les besoins de la cause sont dénuées de force probante; il s'agit d'un procédé qui est contraire aux dispositions impératives de la LPC/GE en matière de preuve testimoniale (Bertossa/Gaillard/ Guyet/Schmidt, op. cit., n. 4 ad art. 186 et n. 1 ad art. 222). Dans le cas présent, en accordant une valeur probante à des dépositions écrites de personnes étrangères au procès, la Chambre d'appel a manifestement méconnu les règles cantonales de procédure civile régissant la preuve par témoins; partant, elle a appliqué la LPC/GE de manière insoutenable. Cela étant, la décision attaquée n'en est pas pour autant arbitraire dans son résultat. Pour que tel soit le cas, encore faut-il que, abstraction faite des deux documents susmentionnés, le Tribunal fédéral considère comme insoutenable l'appréciation des preuves ayant conduit la cour cantonale à tenir pour établi le motif de congé invoqué par le bailleur. A cet égard, il convient d'observer que la mise à l'écart de la pièce n° 42 n'a guère d'importance dans la mesure où C.________ a été entendu comme témoin sur la question des intentions affichées par l'intimé à propos de la reprise de l'établissement public (cf. procès-verbal d'enquêtes du 5 décembre 2002).</w:t>
      </w:r>
    </w:p>
    <w:p>
      <w:r>
        <w:rPr>
          <w:b/>
        </w:rPr>
        <w:t>E. 3</w:t>
      </w:r>
    </w:p>
    <w:p>
      <w:r>
        <w:t>Dans un second moyen, les recourants se plaignent effectivement d'arbitraire dans l'appréciation des preuves, prohibé par l' art. 9 Cst. Les éléments de preuve retenus par la cour cantonale ne seraient pas suffisants pour démontrer la volonté réelle de l'intimé de reprendre l'exploitation du restaurant X.________.</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3.2</w:t>
      </w:r>
    </w:p>
    <w:p>
      <w:r>
        <w:t>La cour cantonale s'est fondée tout d'abord sur les témoignages de C.________ et de D.________. Le témoin C.________ a déclaré que l'intimé avait refusé un poste de chef de service en mars 2001 en expliquant qu'il allait reprendre sa propre affaire. Quant au témoin D.________, il a affirmé qu'environ un an avant l'échéance du contrat de gérance conclu avec les recourants, l'intimé lui avait demandé d'établir une base de données informatiques destinée à faciliter la gestion du restaurant, car il avait dans l'idée de reprendre l'établissement à l'échéance du contrat de gérance. Même si C.________ a été le supérieur de l'intimé et que D.________ est une amie de la famille de ce dernier, rien ne permet de remettre en cause les déclarations de ces témoins, qui ont déposé sous serment. Il n'est au surplus pas contesté que l'intimé avait laissé son établissement en gérance libre en 1996 parce qu'il devait s'occuper de son père malade. Les recourants ne remettent pas en cause le fait que le bailleur n'avait plus à faire face à ce problème à l'époque de la résiliation; dans ces conditions, il n'y avait rien d'étonnant à ce que l'intimé veuille alors reprendre la gestion de l'établissement dont il est propriétaire. De plus, le témoin E.________ a déclaré sous serment que l'intention de l'intimé était bien, dès le départ, de mettre le restaurant en gérance libre pendant quelques années; cela signifie implicitement que l'intimé avait la volonté de reprendre un jour l'exploitation de l'établissement. Sur la base de ces seuls éléments, la cour cantonale pouvait retenir sans arbitraire le caractère réel du motif de congé invoqué par le bailleur sur l'avis de résiliation. Les considérations des recourants sur la soi-disant intention de vendre de l'intimé apparaissent dès lors sans portée, la volonté de reprendre personnellement la gestion du restaurant étant difficilement conciliable avec l'intention de vendre son bien. Dès l'instant où les recourants ne sont pas parvenus à démontrer que le motif du congé avait été établi à la suite d'une appréciation insoutenable des preuves, l'arrêt attaqué n'est pas entaché d'arbitraire. En conséquence, le recours ne peut être que rejeté.</w:t>
      </w:r>
    </w:p>
    <w:p>
      <w:r>
        <w:rPr>
          <w:b/>
        </w:rPr>
        <w:t>E. 4</w:t>
      </w:r>
    </w:p>
    <w:p>
      <w:r>
        <w:t>Vu le sort réservé au recours, les frais judiciaires seront mis à la charge des recourants ( art. 156 al. 1 et 7 OJ ). En outre, ces derniers verseront des dépens à l'intimé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