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4P.117/2006 vom 16. Mai 2007</w:t>
      </w:r>
    </w:p>
    <w:p>
      <w:r>
        <w:t>Bundesgericht, 2007-05-16, FR</w:t>
      </w:r>
    </w:p>
    <w:p>
      <w:r>
        <w:rPr>
          <w:b/>
        </w:rPr>
        <w:t xml:space="preserve">Quelle: </w:t>
      </w:r>
      <w:r>
        <w:t>https://mcp.opencaselaw.ch/entscheid/bger_4P.117_2006</w:t>
      </w:r>
    </w:p>
    <w:p>
      <w:r>
        <w:t>FR: TF 4P.117/2006 du 16 mai 2007</w:t>
      </w:r>
    </w:p>
    <w:p>
      <w:r>
        <w:t>IT: TF 4P.117/2006 del 16 maggio 2007</w:t>
      </w:r>
    </w:p>
    <w:p>
      <w:pPr>
        <w:pStyle w:val="Heading2"/>
      </w:pPr>
      <w:r>
        <w:t>Erwägungen</w:t>
      </w:r>
    </w:p>
    <w:p>
      <w:r>
        <w:rPr>
          <w:b/>
        </w:rPr>
        <w:t>E. 1</w:t>
      </w:r>
    </w:p>
    <w:p>
      <w:r>
        <w:t>L'arrêt querellé a été rendu avant l'entrée en vigueur, le 1er janvier 2007, de la loi fédérale sur le Tribunal fédéral (LTF; RS 173.110). Par conséquent, la procédure reste soumise à l'ancienne loi fédérale d'organisation judiciaire (OJ; art. 132 al. 1 LTF ).</w:t>
      </w:r>
    </w:p>
    <w:p>
      <w:r>
        <w:rPr>
          <w:b/>
        </w:rPr>
        <w:t>E. 2</w:t>
      </w:r>
    </w:p>
    <w:p>
      <w:r>
        <w:t>Selon la publication faite dans la Feuille officielle suisse du commerce (FOSC) n° 194 du 6 octobre 2006, BNP a repris les actifs et les passifs de UEB à la suite d'une fusion et la raison sociale UEB (Switzerland) a été radiée. Il s'ensuit que, dans la procédure fédérale, BNP a succédé de plein droit à la société radiée ( art. 40 OJ et 17 al. 3 PCF; art. 22 LFus [RS 221.301]; ATF 106 II 346 consid. 1; plus récemment, arrêt 4P.288/2004 du 5 août 2005, consid. 1).</w:t>
      </w:r>
    </w:p>
    <w:p>
      <w:r>
        <w:rPr>
          <w:b/>
        </w:rPr>
        <w:t>E. 3</w:t>
      </w:r>
    </w:p>
    <w:p>
      <w:r>
        <w:t>Aux termes de l' art. 57 al. 5 OJ , il est sursis en règle générale à l'arrêt sur le recours en réforme jusqu'à droit connu sur le recours de droit public. La jurisprudence déroge toutefois à cet ordre de priorité dans des situations particulières qui justifient l'examen préalable du recours en réforme ( ATF 123 III 213 consid. 1 p. 215; 122 I 81 consid. 1 p. 82/83; 120 Ia 377 consid. 1 p. 379), ce qui sera notamment le cas si le recours en réforme paraît devoir être admis indépendamment des griefs soulevés dans le recours de droit public ( ATF 122 I 81 consid. 1; 120 Ia 377 consid. 1 et les arrêts cités). Il se peut également que le Tribunal fédéral soit amené à examiner les deux recours en parallèle ( ATF 117 II 630 consid. 1b p. 631; 111 II 398 consid. 1; plus récemment: arrêts 4P.316/2005 et 4C.414/2005 du 29 mars 2006, consid. 1 et arrêts 5P.189/2005 et 5C.146/2005-5C.147/2005 du 2 mars 2006, consid. 1).</w:t>
      </w:r>
    </w:p>
    <w:p>
      <w:r>
        <w:t>Dans son recours de droit public, le recourant reproche notamment à la cour cantonale d'avoir apprécié les preuves de manière arbitraire sur deux points: en retenant l'inexistence d'un compte bancaire mentionné dans l'article de presse du 31 janvier 2003 et en admettant que UEB avait subi un dommage, qui s'élève à 50'000 fr. Sur le second point, le recourant fait valoir, dans son recours en réforme, que la cour cantonale a méconnu la portée de l' art. 42 al. 2 CO en appliquant cette disposition pour admettre l'existence d'un dommage et en fixer son étendue. Les constatations cantonales relatives au dommage, critiquées dans le recours de droit public, seraient dénuées de pertinence en droit au cas où le moyen tiré de la violation de l' art. 42 al. 2 CO devait se révéler fondé. Dans ce cadre-là, il se pose donc, à titre préliminaire, la question de savoir si le recours à l' art. 42 al. 2 CO est conforme au droit fédéral en l'espèce. En revanche, sur le premier point, concernant le compte bancaire, il est nécessaire de déterminer, dans l'arrêt sur le recours de droit public, si la cour cantonale n'a pas établi les faits de manière arbitraire, avant d'examiner, le cas échéant, les violations de la LCD invoquées dans le recours en réforme. Dans un tel cas, il convient, en dérogation à la règle générale de l' art. 57 al. 5 OJ , de traiter simultanément les deux recours.</w:t>
      </w:r>
    </w:p>
    <w:p>
      <w:r>
        <w:rPr>
          <w:b/>
        </w:rPr>
        <w:t>E. 4</w:t>
      </w:r>
    </w:p>
    <w:p>
      <w:r>
        <w:t>Le recours de droit public n'est pas la suite de la procédure cantonale. Il s'agit d'une voie de recours extraordinaire et indépendante, qui tend au contrôle des actes de souveraineté cantonaux sous l'angle spécifique de leur constitutionnalité. En conséquence, l'acte de recours doit contenir, sous peine d'irrecevabilité, un exposé succinct des droits constitutionnels violés, précisant en quoi consiste la violation. Le Tribunal fédéral n'examine que les griefs d'ordre constitutionnel expressément soulevés et motivés de façon claire et détaillée; il n'entre pas en matière sur des critiques de nature appellatoire ( art. 90 al. 1 let. b OJ ; ATF 130 I 26 consid. 2.1 p. 31, 258 consid. 1.3 p. 261/262; 128 I 295 consid. 7a p. 312; 117 Ia 393 consid. 1c p. 395).</w:t>
      </w:r>
    </w:p>
    <w:p>
      <w:r>
        <w:rPr>
          <w:b/>
        </w:rPr>
        <w:t>E. 5</w:t>
      </w:r>
    </w:p>
    <w:p>
      <w:r>
        <w:t>Invoquant l' art. 9 Cst. , le recourant reproche tout d'abord à la cour cantonale une appréciation arbitraire des preuves sur plusieurs points.</w:t>
      </w:r>
    </w:p>
    <w:p>
      <w:r>
        <w:rPr>
          <w:b/>
        </w:rPr>
        <w:t>E. 5.1</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132 I 13 consid. 5.1; 132 III 209 consid. 2.1 p. 211; 131 I 57 consid. 2, 217 consid. 2.1; 129 I 8 consid. 2.1).</w:t>
      </w:r>
    </w:p>
    <w:p>
      <w:r>
        <w:t>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 Le recourant ne peut critiquer la décision attaquée comme il le ferait dans une procédure d'appel, où l'autorité de recours jouit d'une libre cognition; en particulier, il ne peut se contenter d'opposer son opinion à celle de l'autorité cantonale, mais il doit démontrer, par une argumentation précise, que cette décision repose sur une appréciation des preuves manifestement insoutenable ( ATF 129 I 113 consid. 2.1; 128 I 295 consid. 7a).</w:t>
      </w:r>
    </w:p>
    <w:p>
      <w:r>
        <w:rPr>
          <w:b/>
        </w:rPr>
        <w:t>E. 5.2</w:t>
      </w:r>
    </w:p>
    <w:p>
      <w:r>
        <w:t>Le premier grief a trait au compte que, selon l'article du 31 janvier 2003, un membre du gouvernement de la Guinée équatoriale aurait ouvert à titre personnel auprès de UEB et que cette dernière aurait dissimulé afin d'éviter de payer la commission due à Eric Stauffer. L'autorité cantonale a retenu que cette affirmation ne correspondait pas à la réalité et qu'il y avait, sur ce point, une allégation inexacte. A lire le recours, la constatation selon laquelle un tel compte n'existait pas est arbitraire.</w:t>
      </w:r>
    </w:p>
    <w:p>
      <w:r>
        <w:t>La cour cantonale a relevé que UEB, par l'un de ses responsables, avait nié l'existence d'un compte privé d'un ministre guinéen. Le recourant objecte, sans autre explication, que cette dénégation ne suffit pas pour retenir que ses allégations étaient fausses. Il est douteux que cette simple affirmation satisfasse aux exigences posées en matière de motivation d'un recours de droit public. En tout état de cause, la critique, telle que présentée, est dépourvue de fondement. En effet, l'interrogatoire des parties est un moyen de preuve à part entière (cf. art. 206 ss LPC /GE). On ne saurait donc exclure a priori qu'il soit propre à apporter la preuve d'un fait. Et le recourant ne démontre pas pourquoi il en irait différemment dans le cas particulier.</w:t>
      </w:r>
    </w:p>
    <w:p>
      <w:r>
        <w:t>Au surplus, l'autorité cantonale n'a pas assis sa conviction sur ce seul moyen de preuve. Elle a retenu que les enquêtes ordonnées, à la suite des dénonciations d'Eric Stauffer pour escroquerie et blanchiment d'argent, par le Procureur général du canton de Genève, par le Ministère public de la Confédération et par la Commission fédérale des banques, n'avaient rien révélé de suspect. Certes, comme le recourant le souligne, les enquêtes pénales ont été rapidement classées faute de prévention. Même si elles ne constatent pas expressément l'inexistence du compte en question, ces décisions peuvent néanmoins être considérées comme un indice sérieux permettant de douter de la véracité de la version des faits donnée par Eric Stauffer. Au demeurant, le fait que le rapport de l'organe de révision de UEB ne mentionne pas l'existence du compte pouvait aussi être considéré comme un indice.</w:t>
      </w:r>
    </w:p>
    <w:p>
      <w:r>
        <w:t>Dans ces circonstances, il n'était nullement insoutenable de la part de la cour cantonale de retenir l'inexistence d'un compte privé d'un ministre guinéen auprès de UEB. Le grief est mal fondé.</w:t>
      </w:r>
    </w:p>
    <w:p>
      <w:r>
        <w:rPr>
          <w:b/>
        </w:rPr>
        <w:t>E. 5.3</w:t>
      </w:r>
    </w:p>
    <w:p>
      <w:r>
        <w:t>En outre, le recourant se plaint, sans plus amples explications, d'arbitraire dans l'appréciation des moyens de preuve, au motif que l'autorité cantonale se serait fondée sur des pièces qui n'ont pas été versées dans la procédure engagée contre lui. Le grief est irrecevable, faute de motivation conforme aux exigences légales rappelées ci-dessus (consid. 4 et 5.1).</w:t>
      </w:r>
    </w:p>
    <w:p>
      <w:r>
        <w:rPr>
          <w:b/>
        </w:rPr>
        <w:t>E. 5.4</w:t>
      </w:r>
    </w:p>
    <w:p>
      <w:r>
        <w:t>Le dernier grief fondé sur l'arbitraire dans l'appréciation des preuves se rapporte à l'existence et à la quotité du dommage. Appliquant l' art. 42 al. 2 CO , la cour cantonale a admis que UEB avait subi un préjudice consistant dans un tort commercial indiscutable, dans des perturbations au niveau de l'exploitation de l'établissement et dans l'esprit du personnel, ainsi que dans le temps perdu par plusieurs collaborateurs; elle a estimé à 25'000 fr. le dommage lié à chacun des articles des 25/26 janvier 2003 et 31 janvier 2003.</w:t>
      </w:r>
    </w:p>
    <w:p>
      <w:r>
        <w:t>Selon l'arrêt sur le recours en réforme traité en parallèle, le moyen tiré de la violation de l' art. 42 al. 2 CO est fondé, de sorte que ledit recours est admis sur ce point. Il s'ensuit que le grief relatif à une constatation arbitraire de l'existence et de l'estimation du dommage est sans objet.</w:t>
      </w:r>
    </w:p>
    <w:p>
      <w:r>
        <w:rPr>
          <w:b/>
        </w:rPr>
        <w:t>E. 6</w:t>
      </w:r>
    </w:p>
    <w:p>
      <w:r>
        <w:t>En dernier lieu, le recourant reproche à la cour cantonale d'avoir appliqué arbitrairement le droit cantonal de procédure en le condamnant à payer des dommages-intérêts solidairement avec Dominique von Burg, bien que UEB n'ait pris aucune conclusion dans ce sens et nonobstant l'absence de jonction des deux causes; de plus, il se trouverait condamné une seconde fois dans l'arrêt rendu dans la cause C/1091/2004 alors qu'il n'était pas partie à cette procédure. D'une part, le recourant invoque les art. 7 et 154 let. b LPC /GE. La première de ces dispositions prévoit que l'assignation doit, sous peine de nullité, contenir des conclusions; la seconde stipule qu'il y a lieu à révision si un jugement a été prononcé sur choses non demandées. D'autre part, le recourant se réfère aux art. 155 et 145 LPC /GE. Selon la première disposition, il y a lieu à révision s'il y a contrariété de jugements rendus par le même tribunal, entre les mêmes parties, sur le même objet et les mêmes moyens; aux termes de la seconde disposition, les jugements n'ont d'effet qu'entre ceux qui y ont été parties, leurs héritiers et leurs ayants droit.</w:t>
      </w:r>
    </w:p>
    <w:p>
      <w:r>
        <w:t>Comme l'intimée le relève pertinemment, les griefs fondés sur la violation des art. 154 et 155 LPC /GE pouvaient faire l'objet d'une demande de révision cantonale; du reste, le recourant a soulevé ces moyens dans la procédure de révision ayant conduit à l'arrêt du 13 octobre 2006. Faute d'épuisement des voies de recours cantonales, les griefs sont irrecevables dans le recours dirigé contre l'arrêt du 17 mars 2006 ( art. 86 OJ ; cf. ATF 110 Ia 136 consid. 2a p. 137). En outre, le recourant n'est pas lésé au sens de l' art. 88 OJ . Comme il répond de l'entier du dommage, il ne subit aucun préjudice du fait que Dominique von Burg soit condamné solidairement avec lui aux dommages-intérêts correspondants. Les moyens tirés d'une application arbitraire du droit cantonal sont irrecevables faute d'intérêt juridique. Par ailleurs, en tant qu'il critique le dispositif de l'arrêt rendu dans la cause C/1091/2004, le recours est irrecevable puisqu'il n'est pas dirigé contre cette décision et que le recourant n'est manifestement pas partie à cette procédure.</w:t>
      </w:r>
    </w:p>
    <w:p>
      <w:r>
        <w:t>Au demeurant, les griefs soulevés sont sans objet dès lors que, dans l'arrêt rendu parallèlement sur le recours en réforme, la condamnation du recourant au paiement de dommages-intérêts est annulée pour violation de l' art. 42 al. 2 CO .</w:t>
      </w:r>
    </w:p>
    <w:p>
      <w:r>
        <w:rPr>
          <w:b/>
        </w:rPr>
        <w:t>E. 7</w:t>
      </w:r>
    </w:p>
    <w:p>
      <w:r>
        <w:t>En conclusion, le recours doit être rejeté dans la mesure où il est recevable.</w:t>
      </w:r>
    </w:p>
    <w:p>
      <w:r>
        <w:rPr>
          <w:b/>
        </w:rPr>
        <w:t>E. 8</w:t>
      </w:r>
    </w:p>
    <w:p>
      <w:r>
        <w:t>Vu le sort réservé au recours, les frais judiciaires seront mis à la charge du recourant ( art. 156 al. 1 OJ ), lequel versera des dépens à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