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4P.110/2004 vom 14. September 2004</w:t>
      </w:r>
    </w:p>
    <w:p>
      <w:r>
        <w:t>Bundesgericht, 2004-09-14, FR</w:t>
      </w:r>
    </w:p>
    <w:p>
      <w:r>
        <w:rPr>
          <w:b/>
        </w:rPr>
        <w:t xml:space="preserve">Quelle: </w:t>
      </w:r>
      <w:r>
        <w:t>https://mcp.opencaselaw.ch/entscheid/bger_4P.110_2004</w:t>
      </w:r>
    </w:p>
    <w:p>
      <w:r>
        <w:t>FR: TF 4P.110/2004 du 14 septembre 2004</w:t>
      </w:r>
    </w:p>
    <w:p>
      <w:r>
        <w:t>IT: TF 4P.110/2004 del 14 settembre 2004</w:t>
      </w:r>
    </w:p>
    <w:p>
      <w:pPr>
        <w:pStyle w:val="Heading2"/>
      </w:pPr>
      <w:r>
        <w:t>Regeste</w:t>
      </w:r>
    </w:p>
    <w:p>
      <w:r>
        <w:t>Procédure civile</w:t>
      </w:r>
    </w:p>
    <w:p>
      <w:pPr>
        <w:pStyle w:val="Heading2"/>
      </w:pPr>
      <w:r>
        <w:t>Erwägungen</w:t>
      </w:r>
    </w:p>
    <w:p>
      <w:r>
        <w:rPr>
          <w:b/>
        </w:rPr>
        <w:t>E. 1</w:t>
      </w:r>
    </w:p>
    <w:p>
      <w:r>
        <w:t>Conformément à la règle générale de l' art. 57 al. 5 OJ , il y a lieu de statuer tout d'abord sur le recours de droit public.</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les recourants soulèvent une question relevant de l'application du droit fédéral, le grief n'est pas recevable, parce qu'il pouvait faire l'objet d'un recours en réforme (art. 43 al. 1 et 84 al. 2 OJ). Les recourants sont personnellement touchés par l'arrêt entrepris, qui confirme le jugement de première instance les déboutant de leurs conclusions en libération de dette. Ils ont donc un intérêt personnel, actuel et juridiquement protégé à ce que cette décision n'ait pas été adoptée en violation de leurs droits constitutionnels, de sorte que la qualité pour recourir ( art. 88 OJ ) doit leur être reconnue. Interjeté en temps utile compte tenu des féries (art. 34 al. 1 let. a et 89 al. 1 OJ) et dans la forme prévue par la loi ( art. 90 al. 1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3</w:t>
      </w:r>
    </w:p>
    <w:p>
      <w:r>
        <w:t>Les recourants invoquent tout d'abord une violation de leur droit d'être entendu, se plaignant de la motivation lacunaire présentée par la cour cantonale concernant l'information dispensée par la banque à propos de l'assurance de solde.</w:t>
      </w:r>
    </w:p>
    <w:p>
      <w:r>
        <w:rPr>
          <w:b/>
        </w:rPr>
        <w:t>E. 3.1</w:t>
      </w:r>
    </w:p>
    <w:p>
      <w:r>
        <w:t>En raison du caractère formel du droit d'être entendu, dont la violation entraîne l'admission du recours et l'annulation de la décision attaquée indépendamment des chances de succès du recours sur le fond ( ATF 127 V 431 consid. 3d/aa p. 437), ce grief doit être examiné en premier lieu. Comme les recourants n'invoquent pas la violation de règles du droit cantonal de procédure, le défaut de motivation soulevé sera envisagé à la lumière des garanties issues de la Constitution fédérale ( ATF 126 I 15 consid. 2a et les arrêts cités), étant précisé qu'il n'y a pas lieu de se départir de la jurisprudence rendue sous l'empire de l'ancienne Constitution s'agissant de l'application de l' art. 29 al. 2 Cst. (cf. ATF 128 V 272 consid. 5b/bb p. 278).</w:t>
      </w:r>
    </w:p>
    <w:p>
      <w:r>
        <w:rPr>
          <w:b/>
        </w:rPr>
        <w:t>E. 3.2</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126 I 15 consid. 2a/aa p. 17, 97 consid. 2b). Il y a également violation du droit d'être entendu si l'autorité ne satisfait pas à son devoir minimum d'examiner et de traiter les problèmes pertinents ( ATF 124 II 146 consid. 2a; 122 IV 8 consid. 2c in fine). Il suffit cependant que le juge mentionne, au moins brièvement, les motifs qui l'ont guidé et sur lesquels il a fondé sa décision, de manière à ce que l'intéressé puisse se rendre compte de la portée de celle-ci et l'attaquer en connaissance de cause ( ATF 123 I 31 consid. 2c; 122 IV 8 consid. 2c). L'autorité n'a pas l'obligation d'exposer et de discuter tous les faits, moyens de preuve et griefs invoqués par les parties, mais elle peut au contraire se limiter à ceux qui, sans arbitraire, lui paraissent pertinents ( ATF 126 I 97 consid. 2b et les arrêts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est erronée (arrêt du Tribunal fédéral 4P.2/1999 du 20 avril 1999 consid. 2b).</w:t>
      </w:r>
    </w:p>
    <w:p>
      <w:r>
        <w:rPr>
          <w:b/>
        </w:rPr>
        <w:t>E. 3.3</w:t>
      </w:r>
    </w:p>
    <w:p>
      <w:r>
        <w:t>En l'espèce, la cour cantonale, après avoir résumé la position des parties s'agissant du devoir d'information et de mise en garde de la banque, a estimé que cette dernière avait respecté ses obligations, dès lors que l'étendue de la couverture d'assurance de solde était explicitement mentionnée sur le contrat de prêt, en caractère gras. Il appartenait aux emprunteurs d'y être attentifs. Or, ceux-ci avaient admis s'être abstenus de lire le contrat et les conditions générales y relatives, de sorte qu'ils devaient assumer les conséquences de leur négligence. Contrairement à ce que soutiennent les recourants, on ne voit pas qu'un tel raisonnement soit insuffisamment motivé, dès lors que l'on comprend les raisons qui ont poussé les juges à refuser d'admettre une violation du devoir d'information de la banque, ce qui permet du reste aux recourants de critiquer cette position. Le devoir de motiver n'imposait nullement à la cour cantonale d'entrer en matière sur tous les griefs invoqués par les emprunteurs. En effet, les juges se sont fondés sur le contenu de la clause figurant en gras sur le contrat de prêt, considérant implicitement comme non déterminants les arguments des recourants fondés en particulier sur leur relation de confiance avec la banque, leur position de faiblesse ou la modification des conditions générales d'assurance quelques jours avant la conclusion du troisième contrat de prêt. Enfin, après avoir indiqué un motif justifiant le rejet des prétentions formées par les emprunteurs, les juges n'avaient nullement à entrer en matière sur les autres conditions de leur action. Il convient de rappeler aux recourants que la Cour de céans n'a pas à examiner, sous le couvert de l' art. 29 al. 2 Cst. , le caractère convainquant de la motivation présentée. Les critiques liées à la violation du droit d'être entendu sont donc infondées.</w:t>
      </w:r>
    </w:p>
    <w:p>
      <w:r>
        <w:rPr>
          <w:b/>
        </w:rPr>
        <w:t>E. 4</w:t>
      </w:r>
    </w:p>
    <w:p>
      <w:r>
        <w:t>Dans leur second moyen, les recourants invoquent l'arbitraire.</w:t>
      </w:r>
    </w:p>
    <w:p>
      <w:r>
        <w:rPr>
          <w:b/>
        </w:rPr>
        <w:t>E. 4.1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126 III 438 consid. 3 p. 440).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4.2</w:t>
      </w:r>
    </w:p>
    <w:p>
      <w:r>
        <w:t>Reprenant la position soutenue à l'appui de la violation de leur droit d'être entendu, les recourants reprochent en substance à la cour cantonale d'avoir occulté les raisons pour lesquelles ils n'avaient pas lu les nouvelles conditions concernant l'assurance de solde. Ils n'indiquent toutefois aucun élément de preuve précis qui ressortirait du dossier et dont l'arrêt attaqué n'aurait arbitrairement pas tenu compte. Par exemple, ils se contentent d'affirmer qu'ils maîtrisent mal le français, mais sans présenter d'élément propre à démontrer qu'ils seraient incapables d'exprimer leur volonté en cette langue ou de lire un texte rédigé en français. Du reste, dans le dossier, rien n'indique que des obstacles linguistiques aient empêché les recourants de comprendre l'étendue de leurs engagements ni de communiquer avec la banque. En définitive, les recourants se limitent à une argumentation appellatoire, présentant les faits qui, de leur point de vue, auraient dû influencer la cour cantonale, mais sans démontrer l'arbitraire, ce qui n'est pas admissible ( art. 90 al. 1 let. b OJ ; cf. ATF 129 III 727 consid. 5.2.2). De plus, la problématique soulevée ne concerne pas l'établissement des faits ni l'appréciation des preuves. En effet, les recourants soutiennent pour l'essentiel qu'en raison de la relation de confiance qu'ils avaient nouée avec l'intimée, celle-ci était tenue de les informer activement et de les mettre en garde contre la diminution de la couverture d'assurance de solde. Contrairement à ce qu'invoquent les recourants, cet aspect n'a pas été occulté, mais seulement implicitement écarté par la cour cantonale, qui a jugé que le texte clair mis en évidence dans le contrat de prêt et figurant également dans les conditions générales, documents tous signés par les emprunteurs, constituait une information suffisante. C'est ainsi avant tout le contenu du devoir d'information de la banque que les recourants remettent en cause sous le couvert de l' art. 9 Cst. Or, savoir quelle est l'étendue des obligations d'information d'une banque vis-à-vis de sa clientèle, notamment lors de la conclusion d'un contrat de prêt, est une question de droit (cf. arrêts du Tribunal fédéral 4C.45/2001 du 31 août 2001, publié in SJ 2002 I 274, consid. 4a, et 4C.410/1997 du 23 juin 1998, traduit in SJ 1999 I 205, consid. 3b). La voie du recours en réforme étant en l'occurrence ouverte, une telle critique n'est pas recevable dans un recours de droit public (cf. supra consid. 2.1). Dans ces circonstances, le recours doit être rejeté dans la mesure où il est recevable.</w:t>
      </w:r>
    </w:p>
    <w:p>
      <w:r>
        <w:rPr>
          <w:b/>
        </w:rPr>
        <w:t>E. 5</w:t>
      </w:r>
    </w:p>
    <w:p>
      <w:r>
        <w:t>Au vu de l'issue du litige, les frais et dépens seront mis à la charge des recourants, solidairement entre eux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