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4P.110/2001 vom 17. Juli 2001</w:t>
      </w:r>
    </w:p>
    <w:p>
      <w:r>
        <w:t>Bundesgericht, 2001-07-17, FR</w:t>
      </w:r>
    </w:p>
    <w:p>
      <w:r>
        <w:rPr>
          <w:b/>
        </w:rPr>
        <w:t xml:space="preserve">Quelle: </w:t>
      </w:r>
      <w:r>
        <w:t>https://mcp.opencaselaw.ch/entscheid/bger_4P.110_2001</w:t>
      </w:r>
    </w:p>
    <w:p>
      <w:r>
        <w:t>FR: TF 4P.110/2001 du 17 juillet 2001</w:t>
      </w:r>
    </w:p>
    <w:p>
      <w:r>
        <w:t>IT: TF 4P.110/2001 del 17 luglio 2001</w:t>
      </w:r>
    </w:p>
    <w:p>
      <w:pPr>
        <w:pStyle w:val="Heading2"/>
      </w:pPr>
      <w:r>
        <w:t>Erwägungen</w:t>
      </w:r>
    </w:p>
    <w:p>
      <w:r>
        <w:rPr>
          <w:b/>
        </w:rPr>
        <w:t>E. 3</w:t>
      </w:r>
    </w:p>
    <w:p>
      <w:r>
        <w:t>Il suit de là que le recours doit être rejeté dans la faible mesure de sa recevabilité. La procédure est gratuite, puisque la valeur litigieuse, déterminée selon la prétention du demandeur au moment de l'ouverture de l'action ( ATF 115 II 30 consid. 5b), ne dépasse pas 30 000 fr. ( art. 343 al. 2 et 3 CO dans sa teneur en vigueur depuis le 1erjuin 2001, applicable aux procédures déjà pendantes ( ATF 115 II 30 consid. 5a)). L'intimé, qui n'a pas procédé,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