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4P.102/2006 vom 29. August 2006</w:t>
      </w:r>
    </w:p>
    <w:p>
      <w:r>
        <w:t>Bundesgericht, 2006-08-29, DE</w:t>
      </w:r>
    </w:p>
    <w:p>
      <w:r>
        <w:rPr>
          <w:b/>
        </w:rPr>
        <w:t xml:space="preserve">Quelle: </w:t>
      </w:r>
      <w:r>
        <w:t>https://mcp.opencaselaw.ch/entscheid/bger_4P.102_2006</w:t>
      </w:r>
    </w:p>
    <w:p>
      <w:r>
        <w:t>FR: TF 4P.102/2006 du 29 août 2006</w:t>
      </w:r>
    </w:p>
    <w:p>
      <w:r>
        <w:t>IT: TF 4P.102/2006 del 29 agosto 2006</w:t>
      </w:r>
    </w:p>
    <w:p>
      <w:pPr>
        <w:pStyle w:val="Heading2"/>
      </w:pPr>
      <w:r>
        <w:t>Erwägungen</w:t>
      </w:r>
    </w:p>
    <w:p>
      <w:r>
        <w:rPr>
          <w:b/>
        </w:rPr>
        <w:t>E. 1</w:t>
      </w:r>
    </w:p>
    <w:p>
      <w:r>
        <w:t>Das Bundesgesetz über das internationale Privatrecht vom 18. Dezember 1987 (IPRG) enthält keine Bestimmungen betreffend die Revision von Schiedsentscheiden im Sinne von Art. 176 ff. IPRG . Nach der Rechtsprechung des Bundesgerichts, das diese Gesetzeslücke gefüllt hat, stellt das Bundesrecht den Parteien eines internationalen Schiedsgerichtsverfahrens das ausserordentliche Rechtsmittel der Revision zur Verfügung, für welches die Zuständigkeit des Bundesgerichts gegeben ist ( BGE 118 II 199 E. 3). Die Revisionsgründe sind diejenigen, die in Art. 137 OG vorgesehen sind, und auf das Verfahren finden die Art. 140 bis 143 OG sinngemäss Anwendung ( BGE 118 II 199 E. 4; Urteil 4P.120/2002 vom 3. September 2003 E. 1.1, publ. in Praxis 2002 S. 1041). Das Bundesgericht ist für die Revision aller internationalen Schiedsgerichtsentscheide zuständig, handle es sich um Endentscheide, Teilentscheide oder Zwischenentscheide ( BGE 122 III 492 ff.). Heisst das Bundesgericht ein Revisionsgesuch gut, entscheidet es nicht selbst in der Sache, sondern weist diese an das Schiedsgericht, das entschieden hat, oder an ein neu zu bildendes Schiedsgericht zurück (vgl. Rigozzi/Schöll, Die Revision von Schiedssprüchen nach dem 12. Kapitel des IPRG, Bibliothek zur ZSR, Beiheft 37, Basel 2002, S. 55 f.).</w:t>
      </w:r>
    </w:p>
    <w:p>
      <w:r>
        <w:rPr>
          <w:b/>
        </w:rPr>
        <w:t>E. 2</w:t>
      </w:r>
    </w:p>
    <w:p>
      <w:r>
        <w:t>Die Gesuchstellerin beruft sich auf den Revisionsgrund von Art. 137 lit. b OG . Danach ist die Revision zulässig, wenn der Gesuchsteller nachträglich neue erhebliche Tatsachen erfährt oder entscheidende Beweismittel auffindet, die er im früheren Verfahren nicht beibringen konnte.</w:t>
      </w:r>
    </w:p>
    <w:p>
      <w:r>
        <w:rPr>
          <w:b/>
        </w:rPr>
        <w:t>E. 2.1</w:t>
      </w:r>
    </w:p>
    <w:p>
      <w:r>
        <w:t>Als neu gelten Tatsachen, die sich in einem Zeitpunkt ereignet haben, in dem sie im Hauptverfahren noch vorgebracht werden konnten, die aber dem Revisionsgesuchsteller trotz hinreichender Sorgfalt nicht bekannt waren. Die neuen Tatsachen müssen erheblich sein, das heisst sie müssen geeignet sein, die tatsächliche Grundlage des angefochtenen Urteils zu verändern, so dass sie bei zutreffender rechtlicher Würdigung zu einer anderen Entscheidung führen können.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110 V 138 E. 2 S. 141; vgl. auch BGE 118 II 199 E. 5 S. 205; 121 IV 317 E. 2 mit Verweisen). Wird die Revision eines internationalen Schiedsgerichtsurteils beantragt, hat das Bundesgericht gestützt auf die in diesem Urteil aufgeführten Entscheidgründe zu beurteilen, ob die Tatsache erheblich ist und - wäre sie bewiesen worden - wahrscheinlich zu einem anderen Entscheid geführt hätte.</w:t>
      </w:r>
    </w:p>
    <w:p>
      <w:r>
        <w:rPr>
          <w:b/>
        </w:rPr>
        <w:t>E. 2.2</w:t>
      </w:r>
    </w:p>
    <w:p>
      <w:r>
        <w:t>Die Gesuchstellerin hatte schon im Schiedsgerichtsverfahren behauptet, der wirtschaftlich an der damaligen Klägerin Berechtigte sei ein bestimmter Funktionsträger des russischen Staates, wie im angefochtenen Entscheid in Rz. 148 festgestellt wird. Sie hatte darauf ihre Behauptung der Geldwäscherei gestützt. Das Schiedsgericht hielt für die Beurteilung dieses Einwands der damaligen Beklagten für erforderlich, den wirtschaftlich an der Klägerin im Schiedsverfahren Berechtigten zu identifizieren, wie in Rz. 149 des Schiedsentscheids vom 16. August 2004 dargelegt wird, wobei gemäss Rz. 150 die grosse Mehrheit der Gesellschaften und alle Gelder ein und derselben Person gehören. Das Schiedsgericht gelangte in Würdigung der damals vorliegenden Beweise zum Schluss, der wirtschaftlich an der Klägerin Berechtigte sei der dänische Anwalt S.________. Die gegenteilige Behauptung der Beklagten hielt das Gericht nicht für erwiesen. Die damalige Beklagte und heutige Gesuchstellerin reicht im vorliegenden Verfahren die eidesstattliche Erklärung (Affidavit) eines Organs der Klägerin vom 16. Januar 2006 ein, in dem gestützt auf drei bestimmt bezeichnete, aber nicht beigelegte Dokumente erklärt wird, das oberste Exekutivorgan der damaligen Klägerin halte an der Behauptung nicht fest, der dänische Anwalt S.________ sei an ihr wirtschaftlich allein berechtigt. Die Gesuchstellerin stützt ihr Revisionsgesuch im vorliegenden Verfahren auf diese Dokumente, deren Edition sie verlangt und für deren Inhalt sie sich eventuell auf die Darstellung in der eidesstattlichen Erklärung vom 16. Januar 2006 und ihre eigene Zusammenfassung (Beilage 12) beruft.</w:t>
      </w:r>
    </w:p>
    <w:p>
      <w:r>
        <w:rPr>
          <w:b/>
        </w:rPr>
        <w:t>E. 3</w:t>
      </w:r>
    </w:p>
    <w:p>
      <w:r>
        <w:t>Der Beizug der in der eidesstattlichen Erklärung vom 16. Januar 2006 genannten Dokumente ist für die Beurteilung des Revisionsgesuchs nicht erforderlich. In der eidesstattlichen Erklärung wird der Inhalt dieser drei Dokumente beschrieben und die Rechtsvertreter der Gesuchstellerin haben diesen Inhalt aufgrund der Kenntnisnahme im Verfahren vor dem ad-hoc Schiedsgericht Zürich aus ihrer Sicht zusammengefasst (Beilage 12). Die Gesuchstellerin macht zwar geltend, der Inhalt der drei Dokumente sei in der eidesstattlichen Erklärung vom 16. Januar 2006 mindestens teilweise falsch oder geradezu irreführend dargestellt. Abgesehen davon, dass sie jedoch nicht im Einzelnen ausführt, in welcher Hinsicht sie die Darstellung in der eidesstattlichen Erklärung als geradezu irreführend erachtet, ist der Inhalt der Dokumente im vorliegenden Zusammenhang nur insofern von Bedeutung, als sich daraus die fehlende wirtschaftliche Alleinberechtigung des dänischen Anwalts an der Klägerin ergibt, welche das Schiedsgericht im Entscheid vom 16. August 2004 als erwiesen angesehen hat bzw. sich umgekehrt die von der Gesuchstellerin schon im Schiedsverfahren behauptete wirtschaftliche Berechtigung des von ihr genannten Funktionsträgers des russischen Staates belegen lässt. Dies trifft aber sowohl nach den Angaben in der eidesstattlichen Erklärung vom 16. Januar 2006 wie auch nach der vertraulichen Zusammenfassung der Gesuchstellerin in Beilage 12 ihres Gesuchs zu. Die Gesuchstellerin weist in diesem Zusammenhang zutreffend darauf hin, dass gemäss Ziffer 28 der eidesstattlichen Erklärung aus einem Schreiben der Kanzlei von S.________ an Dr. T.________ vom Juni 2002 hervorgeht, dass der russische Funktionär seit über zehn Jahren deren Klient und letztlich der wirtschaftlich Berechtigte an B.________ war. Die Gesuchsgegnerin bestreitet in der Antwort zwar, dass die wirtschaftliche Berechtigung an ihr für den Vorwurf der Geldwäscherei erheblich sei, stellt den Inhalt dieser Erklärung jedoch ebenso wenig in Frage wie denjenigen der Aktiennotiz Dr. U.________ vom 2. August 2001 oder der Erklärung an die Bank V.________. Nach der Aktennotiz vom 2. August 2001 über eine Besprechung bestätigten der Anwalt S.________ und einer seiner Büropartner, dass der russische Funktionär der wirtschaftlich Berechtigte bestimmter, mit B.________ konzernverwandter Gesellschaften ist. In der Erklärung an die Bank V.________ wird bestätigt, dass der russische Funktionär der wirtschaftlich Berechtigte an der liechtensteinischen Anstalt K.________ war, die ihrerseits zu den mit der Gesuchsgegnerin wirtschaftlich verbundenen Gesellschaften gehört. Aus diesen Gründen ist das Editionsbegehren der Gesuchstellerin abzuweisen.</w:t>
      </w:r>
    </w:p>
    <w:p>
      <w:r>
        <w:rPr>
          <w:b/>
        </w:rPr>
        <w:t>E. 4</w:t>
      </w:r>
    </w:p>
    <w:p>
      <w:r>
        <w:t>Das Gesuch um Revision des Schiedsurteils vom 16. August 2004 ist gutzuheissen, wenn es innerhalb der Frist von Art. 141 Abs. 1 lit. b OG gestellt worden ist und die Voraussetzungen von Art. 137 lit. b OG erfüllt.</w:t>
      </w:r>
    </w:p>
    <w:p>
      <w:r>
        <w:rPr>
          <w:b/>
        </w:rPr>
        <w:t>E. 4.1</w:t>
      </w:r>
    </w:p>
    <w:p>
      <w:r>
        <w:t>Nach Art. 141 Abs. 1 lit. b OG muss das Revisionsgesuch bei Folge der Verwirkung in den Fällen des Artikels 137 binnen 90 Tagen, von der Entdeckung des Revisionsgrundes an, beim Bundesgericht anhängig gemacht werden. Danach beginnt die Frist, sobald der Gesuchsteller hinreichend sichere Kenntnis von den massgebenden Tatsachen oder Beweismitteln hat ( BGE 95 II 283 E. 2b S. 286; Poudret/Sandoz, Commentaire de la loi d'organisation judiciaire, N. 1.2 zu Art. 141 OG ). Dies traf hier spätestens zu, als die Gesuchstellerin die eidesstattliche Erklärung des Organs der Gesuchsgegnerin zur Kenntnis nahm, in der die Existenz und der Inhalt der Dokumente dargestellt werden, auf die sich die Gesuchstellerin zum Beweis ihrer im Hauptverfahren aufgestellten Tatsachenbehauptung über die Identität des an der Gesuchsgegnerin wirtschaftlich Berechtigten beruft und die sie zur Begründung ihres Revisionsgesuchs anführt. Die eidesstattliche Erklärung datiert vom 16. Januar 2006 und das Revisionsbegehren wurde am 12. April 2006 eingereicht. Das Revisionsgesuch wurde somit innert 90 Tagen seit Ausstellung der eidesstattlichen Erklärung gestellt, von der die Gesuchstellerin früher keine Kenntnis haben konnte. Die Frist ist in jedem Fall gewahrt, sofern die Gesuchstellerin von den dort erwähnten drei Dokumenten nicht bereits früher Kenntnis hatte. Dafür bestehen keine Anhaltspunkte. Die Gesuchsgegnerin bringt zwar in der Antwort vor, die Gesuchstellerin habe verfehlt, ihre unverschuldete Unkenntnis der neuen Beweismittel darzulegen und habe insbesondere im Hauptverfahren nicht hinreichend auf ihren Editionsbegehren und Beweisanträgen zur Frage der wirtschaftlichen Berechtigung beharrt. Sie behauptet aber nicht und es ist auch nicht ersichtlich, dass die Gesuchstellerin von den in der eidesstattlichen Erklärung vom 16. Januar 2006 konkret erwähnten Dokumenten vor dem 16. Januar 2006 überhaupt Kenntnis hatte. Das Revisionsgesuch ist demnach fristgerecht eingereicht worden.</w:t>
      </w:r>
    </w:p>
    <w:p>
      <w:r>
        <w:rPr>
          <w:b/>
        </w:rPr>
        <w:t>E. 4.2</w:t>
      </w:r>
    </w:p>
    <w:p>
      <w:r>
        <w:t>Die als Revisionsgrund angerufenen Dokumente sind unechte Noven und damit als neue Beweismittel im Sinne von Art. 137 lit. b OG zu qualifizieren (vgl. Escher, in: Geiser/Münch (Hrsg.), Prozessieren vor Bundesgericht, § 8 Revision und Erläuterung, 2. Aufl., Basel 1998, Rz. 8.21). Die in der eidesstattlichen Erklärung vom 13. Januar 2006 erwähnten Dokumente datieren vom August 2001 und vom Juni 2002, während der Zeitpunkt der Erklärung gegenüber der Bank V.________ nach dem Wissensstand der Gesuchstellerin nicht feststeht. Mindestens die beiden Dokumente vom August 2001 und Juni 2002 lagen damit zwar im Urteilszeitpunkt vom 16. August 2004 vor, konnten jedoch von der Gesuchstellerin im früheren Verfahren nicht beigebracht werden, da diese von deren Existenz keine Kenntnis hatte.</w:t>
      </w:r>
    </w:p>
    <w:p>
      <w:r>
        <w:t>Auch die Erheblichkeit der neuen Beweismittel ist zu bejahen. Sie dienen dem Beweis einer Tatsache, deren Kenntnis nach den Erwägungen des Schiedsgerichts im Urteil vom 16. August 2004 für die Abklärung des von der damaligen Beklagten erhobenen Vorwurfs der Geldwäscherei notwendig ist. Die als neue Beweismittel angerufenen Dokumente dienen nicht der Sachverhaltswürdigung, sondern der Sachverhaltsermittlung (oben E. 2.1). Sie sind geeignet, die vom Schiedsgericht für die Beurteilung der Geldwäscherei ausdrücklich erheblich erklärte Tatsache der Identität der wirtschaftlichen Berechtigung an der Gesuchsgegnerin im Sinne der Gesuchstellerin zu beweisen. Das Schiedsgericht hielt aufgrund der damaligen Beweislage die wirtschaftliche Berechtigung des dänischen Anwalts in Übereinstimmung mit der Darstellung der Gesuchsgegnerin für bewiesen, während sie die Behauptung der Gesuchstellerin für nicht nachgewiesen hielt. Die in der eidesstattlichen Erklärung erwähnten Dokumente veranlassten jedoch das Exekutivorgan der Gesuchsgegnerin selbst, an der früheren Behauptung der wirtschaftlichen Alleinberechtigung des Anwalts S.________ nicht festzuhalten, wie in der Erklärung vom 16. Januar 2006 dargelegt wird. Die in dieser Erklärung erwähnten Dokumente sind daher geeignet, die vom Schiedsgericht als erheblich erachtete Tatsache der von der Gesuchstellerin behaupteten Identität des wirtschaftlich an der Gesuchsgegnerin Berechtigten zu beweisen.</w:t>
      </w:r>
    </w:p>
    <w:p>
      <w:r>
        <w:rPr>
          <w:b/>
        </w:rPr>
        <w:t>E. 5</w:t>
      </w:r>
    </w:p>
    <w:p>
      <w:r>
        <w:t>Aus diesen Gründen ist das Revisionsgesuch gutzuheissen und der Entscheid des Schiedsgerichts im Verfahren Nr. 12875/MS vom 16. August 2004 aufzuheben. Die Streitsache ist an das von der Internationalen Handelskammer bestellte Schiedsgericht mit Sitz in Genf zur neuen Beurteilung des von der Gesuchstellerin erhobenen Vorwurfs der Geldwäscherei unter Berücksichtigung der neuen Beweismittel der Gesuchstellerin sowie zu neuem Entscheid in der Sache zurückzuweisen.</w:t>
      </w:r>
    </w:p>
    <w:p>
      <w:r>
        <w:t>Das zweite Revisionsgesuch der Gesuchstellerin vom 14. August 2006 wird mit der Aufhebung des Schiedsurteils vom 16. August 2004 gegenstandslos.</w:t>
      </w:r>
    </w:p>
    <w:p>
      <w:r>
        <w:rPr>
          <w:b/>
        </w:rPr>
        <w:t>E. 6</w:t>
      </w:r>
    </w:p>
    <w:p>
      <w:r>
        <w:t>Die Kosten des Revisionsverfahrens sind bei diesem Verfahrensausgang der Gesuchsgegnerin aufzuerlegen ( Art. 156 Abs. 1 OG ). Sie hat die Gesuchstellerin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