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4G_3/2007 vom 22. November 2007</w:t>
      </w:r>
    </w:p>
    <w:p>
      <w:r>
        <w:t>Bundesgericht, 2007-11-22, FR</w:t>
      </w:r>
    </w:p>
    <w:p>
      <w:r>
        <w:rPr>
          <w:b/>
        </w:rPr>
        <w:t xml:space="preserve">Quelle: </w:t>
      </w:r>
      <w:r>
        <w:t>https://mcp.opencaselaw.ch/entscheid/bger_4G_3_2007</w:t>
      </w:r>
    </w:p>
    <w:p>
      <w:r>
        <w:t>FR: TF 4G_3/2007 du 22 novembre 2007</w:t>
      </w:r>
    </w:p>
    <w:p>
      <w:r>
        <w:t>IT: TF 4G_3/2007 del 22 novembre 2007</w:t>
      </w:r>
    </w:p>
    <w:p>
      <w:pPr>
        <w:pStyle w:val="Heading2"/>
      </w:pPr>
      <w:r>
        <w:t>Erwägungen</w:t>
      </w:r>
    </w:p>
    <w:p>
      <w:r>
        <w:rPr>
          <w:b/>
        </w:rPr>
        <w:t>E. 1</w:t>
      </w:r>
    </w:p>
    <w:p>
      <w:r>
        <w:t>Par arrêt du 3 octobre 2007, la Ire Cour civile du Tribunal fédéral a rejeté le recours interjeté par A.________ dans la cause qui l'opposait à F.________ et consorts. Le chiffre 3 du dispositif de ladite décision, envoyé le 4 octobre 2007, prévoit que « le recourant versera à l'intimé F.________ une indemnité de 5'000 fr. à titre de dépens », tandis que le chiffre 3 du dispositif reproduit au bas de l'expédition complète de l'arrêt, notifiée le 2 novembre 2007, fait état d'une « indemnité de 4'500 fr. » à ce même titre.</w:t>
      </w:r>
    </w:p>
    <w:p>
      <w:r>
        <w:rPr>
          <w:b/>
        </w:rPr>
        <w:t>E. 2</w:t>
      </w:r>
    </w:p>
    <w:p>
      <w:r>
        <w:t>Par lettre du 2 novembre 2007, F.________ (ci-après: le requérant) a demandé la rectification de l'arrêt complet, « pour qu'apparaissent les dépens alloués (et du reste payés), soit Fr. 5'000.- (cinq mille) ». A.________ et les consorts (les intimés) n'ont pas été invités à se déterminer.</w:t>
      </w:r>
    </w:p>
    <w:p>
      <w:r>
        <w:rPr>
          <w:b/>
        </w:rPr>
        <w:t>E. 3</w:t>
      </w:r>
    </w:p>
    <w:p>
      <w:r>
        <w:t>Aux termes de l' art. 129 al. 1 LTF , dont le texte est semblable à celui de l'art. 145 al. 1 aOJ (cf. Message concernant la révision totale de l'organisation judiciaire fédérale du 28 février 2001, FF 2001 p. 4000 ss, p. 4151),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t>Selon la jurisprudence relative à l'ancien droit, mais applicable à l' art. 129 LTF , l'interprétation a notamment pour but de rectifier des fautes de rédaction, de pures fautes de calcul ou des erreurs d'écriture ( ATF 110 V 222 consid. 1 p. 222 et les références citées). Seules entrent en considération les erreurs de plume ou formelles; il peut s'agir notamment d'un chiffre manifestement inexact (cf. Seiler/von Werdt/ Güngerich, Bundesgerichtsgesetz (BGG), Berne 2007, n. 30 ad art. 129 LTF ; Poudret, Commentaire de la loi fédérale d'organisation judiciaire du 16 décembre 1943, vol. V, n. 3.4 ad art. 145 aOJ, p. 82).</w:t>
      </w:r>
    </w:p>
    <w:p>
      <w:r>
        <w:rPr>
          <w:b/>
        </w:rPr>
        <w:t>E. 4</w:t>
      </w:r>
    </w:p>
    <w:p>
      <w:r>
        <w:t>En l'espèce, le montant correct de l'indemnité due à F.________ à titre de dépens, conformément aux principes applicables (cf. art. 4 du règlement sur les dépens alloués à la partie adverse et sur l'indemnité pour la représentation d'office dans les causes portées devant le Tribunal fédéral du 31 mars 2006 [RS 173.110.210.3]) et à la pratique de la Cour de céans en la matière, est de 5'000 fr., comme mentionné dans le dispositif envoyé le 4 octobre 2007, et le chiffre de 4'500 fr. figurant dans le dispositif reproduit au bas de l'expédition complète de l'arrêt résulte manifestement d'une erreur de plume. Dans ces conditions, il y a lieu d'admettre la demande de rectification, d'annuler le chiffre 3 du dispositif reproduit au bas de l'expédition complète de l'arrêt du 3 octobre 2007 notifiée le 2 novembre 2007 et de le reformuler en ce sens que « le recourant versera à l'intimé F.________ une indemnité de 5'000 fr. à titre de dépens ».</w:t>
      </w:r>
    </w:p>
    <w:p>
      <w:r>
        <w:rPr>
          <w:b/>
        </w:rPr>
        <w:t>E. 5</w:t>
      </w:r>
    </w:p>
    <w:p>
      <w:r>
        <w:t>Dès lors que la nécessité de procéder à la rectification demandée fait suite à une inadvertance de l'autorité de recours fédérale, il n'y a pas lieu de percevoir de frais judiciaires. Par ailleurs, le requérant s'est signalé par une simple lettre de son conseil et les autres parties n'ont pas été invitées à se déterminer, de sorte qu'il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