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4G_1/2014 vom 22. Januar 2015</w:t>
      </w:r>
    </w:p>
    <w:p>
      <w:r>
        <w:t>Bundesgericht, 2015-01-22, DE</w:t>
      </w:r>
    </w:p>
    <w:p>
      <w:r>
        <w:rPr>
          <w:b/>
        </w:rPr>
        <w:t xml:space="preserve">Quelle: </w:t>
      </w:r>
      <w:r>
        <w:t>https://mcp.opencaselaw.ch/entscheid/bger_4G_1_2014</w:t>
      </w:r>
    </w:p>
    <w:p>
      <w:r>
        <w:t>FR: TF 4G_1/2014 du 22 janvier 2015</w:t>
      </w:r>
    </w:p>
    <w:p>
      <w:r>
        <w:t>IT: TF 4G_1/2014 del 22 gennaio 2015</w:t>
      </w:r>
    </w:p>
    <w:p>
      <w:pPr>
        <w:pStyle w:val="Heading2"/>
      </w:pPr>
      <w:r>
        <w:t>Erwägungen</w:t>
      </w:r>
    </w:p>
    <w:p>
      <w:r>
        <w:rPr>
          <w:b/>
        </w:rPr>
        <w:t>E. 1.1</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 Die Erläuterung oder Berichtigung dient dazu, möglichst formlos Abhilfe zu schaffen und erlaubt insbesondere, Fehler oder Auslassungen bei der Ausformulierung des Dispositivs zu korrigieren (Urteil 4G_2/2013 vom 3. Februar 2014 E. 1).</w:t>
      </w:r>
    </w:p>
    <w:p>
      <w:r>
        <w:rPr>
          <w:b/>
        </w:rPr>
        <w:t>E. 1.2</w:t>
      </w:r>
    </w:p>
    <w:p>
      <w:r>
        <w:t>Mit dieser Bestimmung wurde die frühere Regelung von Art. 145 aOG praktisch unverändert übernommen, mit dem einzigen Unterschied, dass das Erläuterungs- oder Berichtigungsverfahren vom Bundesgericht auch von Amtes wegen eingeleitet werden kann (Urteil 4G_1/2013 vom 17. Juli 2013 E. 1; NICOLAS VON WERDT, in: Seiler und andere, Bundesgerichtsgesetz, Handkommentar, 2007, N. 14 zu Art. 129 BGG ). Das Erläuterungs- oder Berichtigungsgesuch ist an keine Frist gebunden und unterliegt nur insoweit einer zeitlichen Beschränkung, als die Erläuterung eines Rückweisungsentscheids nicht mehr zulässig ist, wenn die Vorinstanz bereits den neuen Entscheid getroffen hat ( Art. 129 Abs. 2 BGG ; Urteile 4G_2/2013 vom 3. Februar 2014 E. 1; 4G_1/2013 vom 17. Juli 2013 E. 1; je mit Hinweisen).</w:t>
      </w:r>
    </w:p>
    <w:p>
      <w:r>
        <w:rPr>
          <w:b/>
        </w:rPr>
        <w:t>E. 1.3</w:t>
      </w:r>
    </w:p>
    <w:p>
      <w:r>
        <w:t>Eine Berichtigung ist nach Art. 129 Abs. 1 BGG zulässig, wenn sich aus der Lektüre der Entscheiderwägungen und den Umständen ergibt, dass ein Mangel gemäss Art. 129 Abs. 1 BGG im Dispositiv die Folge eines Versehens ist, das auf der Grundlage des getroffenen Entscheides korrigiert werden kann. Ein unvollständiges Dispositiv kann nach Art. 129 BGG ergänzt werden, wenn die Unvollständigkeit die Folge eines Versehens ist und das korrigierte Dispositiv ohne weiteres aus den Erwägungen bzw. aus dem bereits getroffenen Entscheid abgeleitet werden kann. Mit einer Berichtigung kann der gefällte Entscheid nicht inhaltlich abgeändert werden (Urteile 4G_2/2013 vom 3. Februar 2014 E. 1; 4G_1/2013 vom 17. Juli 2013 E. 1; 4G_2/2009 vom 21. Oktober 2009 E. 1.1; je mit Hinweisen).</w:t>
      </w:r>
    </w:p>
    <w:p>
      <w:r>
        <w:rPr>
          <w:b/>
        </w:rPr>
        <w:t>E. 2</w:t>
      </w:r>
    </w:p>
    <w:p>
      <w:r>
        <w:t>Dies verkennt der Gesuchsteller. Er zeigt die Voraussetzungen für eine Berichtigung, also das Vorliegen eines Redaktions- oder Rechnungsfehlers, nicht auf. Vielmehr verlangt er eine unzulässige inhaltliche Änderung der angefochtenen Verfügung, indem deren Ziffer 2 (Kostenauflage) aufgehoben werden soll. Dafür steht die Berichtigung nicht zur Verfügung, weshalb das Gesuch abzuweisen ist. Zu bemerken ist sodann, dass keine gesetzliche Grundlage besteht, um gesprochene Kosten in einem bundesgerichtlichen Verfahren zu erlassen.</w:t>
      </w:r>
    </w:p>
    <w:p>
      <w:r>
        <w:rPr>
          <w:b/>
        </w:rPr>
        <w:t>E. 3</w:t>
      </w:r>
    </w:p>
    <w:p>
      <w:r>
        <w:t>Das Berichtigungsgesuch erweist sich als offensichtlich unbegründet und ist abzuweisen.</w:t>
      </w:r>
    </w:p>
    <w:p>
      <w:r>
        <w:t>Dem Ausgang des Verfahrens entsprechend wird der Gesuchsteller kostenpflichtig ( Art. 66 Abs. 1 BGG ). Dem Gesuchsgegner ist keine Parteientschädigung zuzusprechen, da ihm aus dem Berichtigungsverfahren kein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