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4F_9/2020 vom 17. März 2021</w:t>
      </w:r>
    </w:p>
    <w:p>
      <w:r>
        <w:t>Bundesgericht, 2021-03-17, FR</w:t>
      </w:r>
    </w:p>
    <w:p>
      <w:r>
        <w:rPr>
          <w:b/>
        </w:rPr>
        <w:t xml:space="preserve">Quelle: </w:t>
      </w:r>
      <w:r>
        <w:t>https://mcp.opencaselaw.ch/entscheid/bger_4F_9_2020</w:t>
      </w:r>
    </w:p>
    <w:p>
      <w:r>
        <w:t>FR: TF 4F_9/2020 du 17 mars 2021</w:t>
      </w:r>
    </w:p>
    <w:p>
      <w:r>
        <w:t>IT: TF 4F_9/2020 del 17 marzo 2021</w:t>
      </w:r>
    </w:p>
    <w:p>
      <w:pPr>
        <w:pStyle w:val="Heading2"/>
      </w:pPr>
      <w:r>
        <w:t>Erwägungen</w:t>
      </w:r>
    </w:p>
    <w:p>
      <w:r>
        <w:rPr>
          <w:b/>
        </w:rPr>
        <w:t>E. 1.1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(arrêt 4F_7/2020 du 22 février 2021 consid. 1.1, destiné à la publication).</w:t>
      </w:r>
    </w:p>
    <w:p>
      <w:r>
        <w:rPr>
          <w:b/>
        </w:rPr>
        <w:t>E. 1.2</w:t>
      </w:r>
    </w:p>
    <w:p>
      <w:r>
        <w:t>La procédure de révision auprès du Tribunal fédéral se déroule en plusieurs phases.</w:t>
      </w:r>
    </w:p>
    <w:p>
      <w:r>
        <w:rPr>
          <w:b/>
        </w:rPr>
        <w:t>E. 1.2.1</w:t>
      </w:r>
    </w:p>
    <w:p>
      <w:r>
        <w:t>Tout d'abord, le Tribunal fédéral examine les conditions de recevabilité de la demande, comme le respect du délai pour la déposer. Pour les questions qui ne sont pas traitées dans le chapitre 7 de la LTF relatif à la procédure de révision, les dispositions générales de la LTF s'appliquent. Sont notamment applicables les exigences de motivation de l' art. 42 al. 1 et 2 LTF . Si les conditions de recevabilité ne sont pas remplies, le Tribunal fédéral n'entre pas en matière (arrêt 4F_7/2020 précité consid. 1.2.1 et les arrêts cités, destiné à la publication; ATF 144 I 214 consid. 1.2 p. 218).</w:t>
      </w:r>
    </w:p>
    <w:p>
      <w:r>
        <w:rPr>
          <w:b/>
        </w:rPr>
        <w:t>E. 1.2.2</w:t>
      </w:r>
    </w:p>
    <w:p>
      <w:r>
        <w:t>Si le Tribunal fédéral estime la demande de révision recevable, il entre alors en matière et examine si le motif de révision allégué est réalisé. La question de savoir s'il existe un motif de révision n'est dès lors pas une condition de recevabilité mais une question matérielle (arrêt 4F_7/2020 précité consid. 1.2.2 et les arrêts cités, destiné à la publication).</w:t>
      </w:r>
    </w:p>
    <w:p>
      <w:r>
        <w:rPr>
          <w:b/>
        </w:rPr>
        <w:t>E. 1.2.3</w:t>
      </w:r>
    </w:p>
    <w:p>
      <w:r>
        <w:t>Si le Tribunal fédéral arrive à la conclusion que le motif de révision invoqué n'est pas rempli, il rejette la demande de révision. S'il considère qu'il est rempli, il rend successivement deux décisions distinctes, même s'il le fait, en règle générale, dans un seul arrêt.</w:t>
      </w:r>
    </w:p>
    <w:p>
      <w:r>
        <w:t>Par la première décision, dénommée le rescindant, il annule l'arrêt qui est l'objet de la demande de révision. Cette décision d'annulation met un terme à la procédure de révision proprement dite et entraîne la réouverture de la procédure antérieure.</w:t>
      </w:r>
    </w:p>
    <w:p>
      <w:r>
        <w:t>Par la seconde décision, appelée le rescisoire, il statue sur le recours dont il avait été précédemment saisi (cf. art. 128 al. 1 LTF ). Elle sortit un effet</w:t>
      </w:r>
    </w:p>
    <w:p>
      <w:r>
        <w:t>ex tunc , si bien que le Tribunal fédéral et les parties sont replacés dans la situation dans laquelle ils se trouvaient au moment auquel l'arrêt annulé a été rendu, la cause devant être tranchée comme si cet arrêt n'avait jamais existé (arrêt 4F_7/2020 précité consid. 1.2.3 et les arrêts cités, destiné à la publication; ATF 144 I 214 consid. 1.2 p. 218 s.).</w:t>
      </w:r>
    </w:p>
    <w:p>
      <w:r>
        <w:rPr>
          <w:b/>
        </w:rPr>
        <w:t>E. 2</w:t>
      </w:r>
    </w:p>
    <w:p>
      <w:r>
        <w:t>À l'appui de sa demande de révision, fondée sur l' art. 121 let . d LTF, le requérant invoque, en substance, que le Tribunal de céans aurait omis de tenir compte d'une partie de son recours et d'éléments retenus par les autorités précédentes et n'aurait, pour cette raison, pas condamné l'intimée à lui verser des dommages-intérêts correspondant à la part de la rémunération de son avocat non couverte par les indemnités déjà perçues de l'État.</w:t>
      </w:r>
    </w:p>
    <w:p>
      <w:r>
        <w:rPr>
          <w:b/>
        </w:rPr>
        <w:t>E. 2.1</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(arrêts 2F_3/2020 du 24 juin 2020 consid. 2.2; 4F_15/2017 du 30 novembre 2017 consid. 2.1).</w:t>
      </w:r>
    </w:p>
    <w:p>
      <w:r>
        <w:t>L'inadvertance implique une erreur et consiste soit à méconnaître soit à déformer un fait ou une pièce. Elle doit se rapporter au contenu même du fait, à sa perception par le tribunal, mais non pas à son appréciation juridique. Les faits doivent ressortir du dossier. L'inadvertance doit, en outre, porter sur un fait susceptible d'entraîner une décision différente, plus favorable à la partie requérante (arrêts 4F_15/2017 précité consid. 2.1; 4F_4/2015 du 2 avril 2015 consid. 2.1 et l'arrêt cité; cf. ATF 96 I 279 consid. 3 p. 280).</w:t>
      </w:r>
    </w:p>
    <w:p>
      <w:r>
        <w:t>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il ne saurait se voir reprocher, dans la procédure de révision subséquente, de ne pas avoir rectifié par inadvertance une erreur affectant une constatation faite par les juges cantonaux (arrêts 4F_15/2017 précité consid. 2.1; 4F_4/2015 précité consid. 2.1 et l'arrêt cité).</w:t>
      </w:r>
    </w:p>
    <w:p>
      <w:r>
        <w:t>La révision d'un arrêt du Tribunal fédéral peut aussi être demandée en raison de l'ignorance d'une pièce essentielle que l'autorité précédente a conservée à tort au lieu de la transmettre au Tribunal fédéral. Pareille situation est assimilée à une inadvertance du Tribunal fédéral, étant donné que, sans cette possibilité, la partie lésée serait privée de tout moyen de se prévaloir de l'erreur commise à son insu par l'autorité précédente (arrêt 4F_15/2017 précité consid. 2.1 et les références citées).</w:t>
      </w:r>
    </w:p>
    <w:p>
      <w:r>
        <w:rPr>
          <w:b/>
        </w:rPr>
        <w:t>E. 2.2</w:t>
      </w:r>
    </w:p>
    <w:p>
      <w:r>
        <w:t>En l'espèce, le Tribunal fédéral a, en substance, retenu que c'était à bon droit que la Cour de justice avait considéré que le demandeur n'avait pas dûment établi le montant qu'il réclamait à son assurance de protection juridique pour la rémunération de son avocat. Seules les prestations directement liées à la procédure pénale qui était dirigée contre le recourant pouvant être remboursées, il n'avait pas satisfait à la diligence particulière qui lui incombait, s'agissant notamment de la précision dans l'allégation et la preuve des activités déployées par ses conseils, au vu des spécificités du cas d'espèce. Par ailleurs, dans la mesure où le recourant n'avait pas critiqué une des motivations indépendantes de l'autorité précédente, ses développements relatifs à l'estimation des heures passées à la rédaction des plaintes pénales, qui constituent selon la cour cantonale un fait nouveau irrecevable ( art. 229 CPC ), étaient irrecevables (arrêt 4A_194/2020 précité consid. 5.3.2.2).</w:t>
      </w:r>
    </w:p>
    <w:p>
      <w:r>
        <w:rPr>
          <w:b/>
        </w:rPr>
        <w:t>E. 2.3</w:t>
      </w:r>
    </w:p>
    <w:p>
      <w:r>
        <w:t>Le requérant invoque que le Tribunal de céans aurait omis de tenir compte du fait que le Tribunal de première instance et la Cour de justice avaient retenu que " l'exécution du mandat [par ses conseils] n'avait pas été défectueuse et [que] la convention d'honoraires les fixant à 450 fr. pour un avocat breveté et à 150 fr. pour un avocat-stagiaire était correcte ".</w:t>
      </w:r>
    </w:p>
    <w:p>
      <w:r>
        <w:t>En substance, le requérant considère qu'il avait, en tout état de cause, le droit à un pourcentage des indemnités qui lui avaient été octroyées par l'État. Dites indemnités ayant été fixées sur la base d'un tarif horaire de 400 fr. pour un avocat breveté, il avance qu'il aurait droit à un pourcentage s'élevant à 12,5 % (soit (450-400) /400) sur l'ensemble des indemnités de défense et des dépens perçus (soit 113'494 fr.), pour un montant total de 14'986 fr. 75, intérêts en sus.</w:t>
      </w:r>
    </w:p>
    <w:p>
      <w:r>
        <w:t>Le montant total de 113'494 fr. résulte de l'addition des indemnités de 5'994 fr. et de 100'000 fr. susmentionnées (cf.</w:t>
      </w:r>
    </w:p>
    <w:p>
      <w:r>
        <w:t>supra consid. A.d), de deux indemnités pour dépens de 3'000 fr. chacune octroyées par le Tribunal fédéral et la Chambre pénale de recours de la Cour de justice et d'une indemnité de 1'500 fr. accordée par le Tribunal fédéral.</w:t>
      </w:r>
    </w:p>
    <w:p>
      <w:r>
        <w:rPr>
          <w:b/>
        </w:rPr>
        <w:t>E. 2.4</w:t>
      </w:r>
    </w:p>
    <w:p>
      <w:r>
        <w:t>Le requérant ne conteste pas, ou du moins pas suffisamment (cf.</w:t>
      </w:r>
    </w:p>
    <w:p>
      <w:r>
        <w:t>supra consid. 1.2.1), qu'il a failli à apporter la preuve de son dommage en présentant des allégués et des pièces qui auraient permis à l'intimée de se déterminer sur ses prétentions alléguées.</w:t>
      </w:r>
    </w:p>
    <w:p>
      <w:r>
        <w:t>En l'occurrence, les développements qui étaient contenus dans le recours du requérant et qu'il invoque dans sa demande de révision ne pouvaient être pris en considération, de sorte que la Cour de céans n'a pas fait preuve d'inadvertance en ne les examinant pas (cf.</w:t>
      </w:r>
    </w:p>
    <w:p>
      <w:r>
        <w:t>supra consid. 2.1). En effet, certaines des indemnités qu'invoque le requérant, et notamment celle s'élevant à 100'000 fr., ont été octroyées sur la base de l' art. 429 al. 1 let. a CPP . Or, de telles indemnités peuvent comprendre tant la rémunération de l'avocat de choix, pour autant que le recours à celui-ci ait été nécessaire, que d'éventuels débours ( ATF 146 IV 332 consid. 1.3 p. 335; 144 IV 207 consid. 1.3.1 p. 209). Le raisonnement du requérant, soit l'application d'un pourcentage à l'ensemble des indemnités qu'il a perçues, est par trop schématique pour établir le dommage; il n'a pas prouvé les prétentions auxquelles il avait droit en alléguant et prouvant les activités de ses conseils avec la précision que les circonstances exigeaient de lui.</w:t>
      </w:r>
    </w:p>
    <w:p>
      <w:r>
        <w:t>Le motif de révision n'est pas établi.</w:t>
      </w:r>
    </w:p>
    <w:p>
      <w:r>
        <w:rPr>
          <w:b/>
        </w:rPr>
        <w:t>E. 3</w:t>
      </w:r>
    </w:p>
    <w:p>
      <w:r>
        <w:t>Au vu de ce qui précède, la demande de révision doit être rejetée.</w:t>
      </w:r>
    </w:p>
    <w:p>
      <w:r>
        <w:t>La demande de révision étant manifestement dépourvue de chances de succès, l'une des conditions pour l'octroi de l'assistance judiciaire n'est pas remplie ( art. 64 al. 1 LTF ). Il convient dès lors de rejeter la demande d'assistance judiciaire du requérant, sur laquelle il n'était par ailleurs pas nécessaire de se prononcer préalablement au vu des circonstances du cas d'espèce (cf. arrêt 4A_20/2011 du 11 avril 2011 consid. 7.2.2).</w:t>
      </w:r>
    </w:p>
    <w:p>
      <w:r>
        <w:t>Les frais judiciaires seront mis à la charge du requérant, qui succombe ( art. 66 al. 1 LTF ). Dans la mesure où l'intimée n'a pas été invitée à se déterminer, il ne lui sera pas accordé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