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4F_9/2011 vom 1. Juni 2011</w:t>
      </w:r>
    </w:p>
    <w:p>
      <w:r>
        <w:t>Bundesgericht, 2011-06-01, DE</w:t>
      </w:r>
    </w:p>
    <w:p>
      <w:r>
        <w:rPr>
          <w:b/>
        </w:rPr>
        <w:t xml:space="preserve">Quelle: </w:t>
      </w:r>
      <w:r>
        <w:t>https://mcp.opencaselaw.ch/entscheid/bger_4F_9_2011</w:t>
      </w:r>
    </w:p>
    <w:p>
      <w:r>
        <w:t>FR: TF 4F_9/2011 du 1 juin 2011</w:t>
      </w:r>
    </w:p>
    <w:p>
      <w:r>
        <w:t>IT: TF 4F_9/2011 del 1 giugno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subsidiäre Verfassungsbeschwerde wird nicht eingetreten.</w:t>
      </w:r>
    </w:p>
    <w:p>
      <w:r>
        <w:rPr>
          <w:b/>
        </w:rPr>
        <w:t>E. 2</w:t>
      </w:r>
    </w:p>
    <w:p>
      <w:r>
        <w:t>Auf das Revisionsgesuch wird nicht eingetreten.</w:t>
      </w:r>
    </w:p>
    <w:p>
      <w:r>
        <w:rPr>
          <w:b/>
        </w:rPr>
        <w:t>E. 3</w:t>
      </w:r>
    </w:p>
    <w:p>
      <w:r>
        <w:t>Die Gerichtskosten von Fr. 500.-- werden dem Gesuchsteller auferlegt.</w:t>
      </w:r>
    </w:p>
    <w:p>
      <w:r>
        <w:rPr>
          <w:b/>
        </w:rPr>
        <w:t>E. 4</w:t>
      </w:r>
    </w:p>
    <w:p>
      <w:r>
        <w:t>Dieses Urteil wird den Parteien und dem Handelsgerichtspräsident des Kantons St. Gallen schriftlich mitgeteilt.</w:t>
      </w:r>
    </w:p>
    <w:p>
      <w:r>
        <w:t>Lausanne, 1. Juni 2011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Der Gerichtsschreiber:</w:t>
      </w:r>
    </w:p>
    <w:p>
      <w:r>
        <w:t>Klett Hurni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