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4F_65/2025 vom 18. Februar 2026</w:t>
      </w:r>
    </w:p>
    <w:p>
      <w:r>
        <w:t>Bundesgericht, 2026-02-18, DE</w:t>
      </w:r>
    </w:p>
    <w:p>
      <w:r>
        <w:rPr>
          <w:b/>
        </w:rPr>
        <w:t xml:space="preserve">Quelle: </w:t>
      </w:r>
      <w:r>
        <w:t>https://mcp.opencaselaw.ch/entscheid/bger_4F_65_2025</w:t>
      </w:r>
    </w:p>
    <w:p>
      <w:r>
        <w:t>FR: TF 4F_65/2025 du 18 février 2026</w:t>
      </w:r>
    </w:p>
    <w:p>
      <w:r>
        <w:t>IT: TF 4F_65/2025 del 18 febbraio 2026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Revision eines Entscheids des Bundesgerichts kann nur aus den in den Art. 121-123 BGG abschliessend aufgezählten Gründen verlangt werden (vgl. BGE 150 I 99 E. 1.1; 147 III 238 E. 1.1).</w:t>
      </w:r>
    </w:p>
    <w:p>
      <w:r>
        <w:t>Rechtsschriften müssen die Begehren und deren Begründung mit Angabe der Beweismittel enthalten ( Art. 42 Abs. 1 BGG ), ansonsten darauf nicht eingetreten werden kann (vgl. BGE 147 III 238 E. 1.2.1). In der Begründung ist in gedrängter Form darzulegen, inwiefern der angefochtene Akt Recht verletzt ( Art. 42 Abs. 2 Satz 1 BGG ).</w:t>
      </w:r>
    </w:p>
    <w:p>
      <w:r>
        <w:rPr>
          <w:b/>
        </w:rPr>
        <w:t>E. 2</w:t>
      </w:r>
    </w:p>
    <w:p>
      <w:r>
        <w:t>In einem Revisionsgesuch ist dementsprechend unter Angabe der Beweismittel der Revisionsgrund im Einzelnen darzulegen. Dabei genügt es nicht, das Vorliegen eines solchen Grundes einfach zu behaupten; vielmehr muss dargetan werden, weshalb dieser gegeben und inwiefern gestützt darauf das Urteilsdispositiv abzuändern ist (siehe etwa Urteil 4F_61/2025 vom 12. Januar 2026 E. 4.1).</w:t>
      </w:r>
    </w:p>
    <w:p>
      <w:r>
        <w:rPr>
          <w:b/>
        </w:rPr>
        <w:t>E. 3</w:t>
      </w:r>
    </w:p>
    <w:p>
      <w:r>
        <w:t>Die Gesuchstellerin wirft dem Bundesgericht sinngemäss vor, zahlreiche Beweismittel falsch gewürdigt und das massgebliche Recht unrichtig angewandt zu haben.</w:t>
      </w:r>
    </w:p>
    <w:p>
      <w:r>
        <w:t>Die Revision dient weder dazu, angebliche Rechtsfehler zu beheben ( BGE 122 II 17 E. 3) noch eine nachteilige Beweiswürdigung zu korrigieren (Urteil 5F_2/2024 vom 29. Januar 2024 E. 4.2). Da die Gesuchstellerin keinen gesetzlichen Revisionsgrund geltend macht, ist ohne Schriftenwechsel ( Art. 127 BGG ) auf ihr Gesuch nicht einzutreten.</w:t>
      </w:r>
    </w:p>
    <w:p>
      <w:r>
        <w:rPr>
          <w:b/>
        </w:rPr>
        <w:t>E. 4</w:t>
      </w:r>
    </w:p>
    <w:p>
      <w:r>
        <w:t>Die Gesuchstellerin wird bei diesem Verfahrensausgang kostenpflichtig ( Art. 66 Abs. 1 BGG ).</w:t>
      </w:r>
    </w:p>
    <w:p>
      <w:r>
        <w:t>Der Gesuchsgegner hat keinen Anspruch auf eine Parteientschädigung, da ihm mangels Einholung einer Vernehmlassung aus dem bundesgerichtlichen Verfahren kein entschädigungspflichtiger Aufwand erwachsen ist ( Art. 68 Abs. 2 BGG ).</w:t>
      </w:r>
    </w:p>
    <w:p>
      <w:r>
        <w:rPr>
          <w:b/>
        </w:rPr>
        <w:t>E. 5</w:t>
      </w:r>
    </w:p>
    <w:p>
      <w:r>
        <w:t>Die Gesuchstellerin wird darauf aufmerksam gemacht, dass weitere Eingaben dieser Art in der gleichen Sache künftig ohne Antwort abgelegt werden.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