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5/2010 vom 9. August 2010</w:t>
      </w:r>
    </w:p>
    <w:p>
      <w:r>
        <w:t>Bundesgericht, 2010-08-09, FR</w:t>
      </w:r>
    </w:p>
    <w:p>
      <w:r>
        <w:rPr>
          <w:b/>
        </w:rPr>
        <w:t xml:space="preserve">Quelle: </w:t>
      </w:r>
      <w:r>
        <w:t>https://mcp.opencaselaw.ch/entscheid/bger_4F_5_2010</w:t>
      </w:r>
    </w:p>
    <w:p>
      <w:r>
        <w:t>FR: TF 4F 5/2010 du 9 août 2010</w:t>
      </w:r>
    </w:p>
    <w:p>
      <w:r>
        <w:t>IT: TF 4F 5/2010 del 9 agosto 2010</w:t>
      </w:r>
    </w:p>
    <w:p>
      <w:pPr>
        <w:pStyle w:val="Heading2"/>
      </w:pPr>
      <w:r>
        <w:t>Regeste</w:t>
      </w:r>
    </w:p>
    <w:p>
      <w:r>
        <w:t>responsabilité de l'organe de révision; prescription | Droit des sociétés</w:t>
      </w:r>
    </w:p>
    <w:p>
      <w:pPr>
        <w:pStyle w:val="Heading2"/>
      </w:pPr>
      <w:r>
        <w:t>Erwägungen</w:t>
      </w:r>
    </w:p>
    <w:p>
      <w:r>
        <w:rPr>
          <w:b/>
        </w:rPr>
        <w:t>E. 1</w:t>
      </w:r>
    </w:p>
    <w:p>
      <w:r>
        <w:t>A teneur de l' art. 121 let . d LTF, la révision d'un arrêt du Tribunal fédéral peut être demandée si, par inadvertance, le tribunal n'a pas pris en considération des faits pertinents qui ressortent du dossier. Selon l' art. 124 al. 1 let. b LTF , la demande doit être présentée dans les trente jours qui suivent la notification de l'expédition complète de l'arrêt. Ce délai est observé en l'espèce. Si le Tribunal fédéral admet le motif de révision invoqué, il annule l'arrêt et statue à nouveau ( art. 128 al. 1 LTF ). Il est possible que son nouveau jugement le conduise à une décision semblable, dans son résultat, à celle annulée (Pierre Ferrari, in Commentaire de la LTF, n° 4 ad art. 128 LTF ). Une inadvertance survient lorsque le tribunal ignore ou déforme involontairement une constatation de fait qui le lie, ou s'il transcrit incomplètement une pièce du dossier et se met en contradiction avec elle; l'inadvertance doit porter sur un fait susceptible d'entraîner une solution différente, plus favorable à la partie requérante (arrêt 1F_16/2008 du 11 août 2008, consid. 3, SJ 2008 I 465; Ferrari, op. cit., nos 17 et 19 ad art. 121 LTF ). Dans la présente affaire, il est vrai que le Tribunal fédéral a involontairement ignoré, dans le mémoire de recours à lui adressé, la présentation des faits que, selon la défenderesse, le Tribunal de première instance devra élucider, et la description des preuves nécessaires à cette fin, soit l'audition de nombreux témoins, dont certains résident à l'étranger, et aussi une expertise particulièrement difficile. Cette inadvertance a directement influencé le jugement sur la recevabilité du recours en matière civile. Il s'impose donc d'accueillir la demande de révision et d'annuler l'arrêt du 10 février 2010.</w:t>
      </w:r>
    </w:p>
    <w:p>
      <w:r>
        <w:rPr>
          <w:b/>
        </w:rPr>
        <w:t>E. 2</w:t>
      </w:r>
    </w:p>
    <w:p>
      <w:r>
        <w:t>Il incombe à la Cour de céans de statuer à nouveau sur la recevabilité et, le cas échéant, sur le bien-fondé du recours en matière civile. Il est d'abord nécessaire de vérifier si le Tribunal de première instance devra effectivement, pour se conformer à l'arrêt de la Cour de justice du 11 décembre 2009 et préparer un nouveau jugement, ordonner les mesures probatoires longues, difficiles et coûteuses dont la défenderesse fait état.</w:t>
      </w:r>
    </w:p>
    <w:p>
      <w:r>
        <w:rPr>
          <w:b/>
        </w:rPr>
        <w:t>E. 2.1</w:t>
      </w:r>
    </w:p>
    <w:p>
      <w:r>
        <w:t>Le dommage dont la demanderesse veut réparation consiste dans une diminution de la valeur des actions de la Banque B.________ SA qui lui appartenaient le 10 avril 1996. La défenderesse doit censément en répondre par suite d'une violation de son devoir de diligence, devoir qui lui incombait en qualité d'organe de révision. A première vue, c'est seulement en qualité d'organe de révision de la banque que la défenderesse aurait dû, selon la demanderesse, détecter les malversations du gestionnaire; on ne voit guère qu'elle eût pu ou dû le faire aussi en qualité d'organe de révision de la société demanderesse car le gestionnaire n'avait aucune espèce de relation avec celle-ci. La demanderesse semble donc se plaindre d'un dommage indirect seulement, ou réfléchi, consécutif au dommage subi par la Banque B.________ SA; or, un préjudice de ce genre ne suffit en principe pas à fonder l'action en dommages-intérêts que l' art. 755 al. 1 CO accorde à l'actionnaire en faveur de son propre patrimoine ( ATF 131 III 306 consid. 3.1.1 p. 311; 132 III 564 consid. 3.2.2 p. 570). Ainsi, on ne saurait exclure d'emblée qu'en l'espèce, l'action doive être rejetée pour ce motif déjà, sans plus de mesures probatoires.</w:t>
      </w:r>
    </w:p>
    <w:p>
      <w:r>
        <w:rPr>
          <w:b/>
        </w:rPr>
        <w:t>E. 2.2</w:t>
      </w:r>
    </w:p>
    <w:p>
      <w:r>
        <w:t>L'arrêt de la Cour de justice ne comporte aucune injonction, à l'intention du Tribunal de première instance, qui porterait sur les faits à élucider et sur les mesures probatoires à ordonner. En particulier, contrairement à ce qu'affirme la défenderesse, il n'en ressort pas que le tribunal doive reconstituer en détail les opérations du gestionnaire malhonnête au cours des années qui ont précédé 1996. L'arrêt relève seulement qu'en raison des malversations encore inconnues à cette époque, les éléments d'évaluation de la valeur des actions antérieurs à 1996 étaient « vraisemblablement » erronés. Certes, avant la découverte des malversations, la valeur de la banque et de ses actions était probablement surévaluée. Cependant, il n'apparaît pas que la valeur hypothétique des actions sans les malversations, valeur qui est déterminante pour l'évaluation du dommage allégué par la demanderesse, doive être très différente de la valeur que l'on attribuait ou que l'on aurait attribué à ces mêmes actions dans l'ignorance des malversations. Il semble plutôt que celles-ci et leurs conséquences n'aient aucun rôle dans l'évaluation de cette valeur hypothétique. Par conséquent, il est très douteux que l'évaluation nécessite réellement une expertise aussi complexe que la défenderesse le prétend.</w:t>
      </w:r>
    </w:p>
    <w:p>
      <w:r>
        <w:rPr>
          <w:b/>
        </w:rPr>
        <w:t>E. 2.3</w:t>
      </w:r>
    </w:p>
    <w:p>
      <w:r>
        <w:t>Il reste que la demanderesse impute à la défenderesse de nombreux manquements dans l'accomplissement de ses tâches de réviseur de la Banque B.________ SA (manque de contrôle réel et sérieux; absence de vérification sur les opérations de change; omissions dans l'établissement de procédures de contrôle interne; obstruction après la découverte des malversations) ou de la demanderesse elle-même (conflit d'intérêts; défaut de réserve au sujet de la valeur des actions). Ces manquements ont été allégués; la défenderesse en fait état dans le mémoire de recours et, conformément à son opinion, il faut envisager que les preuves ou contre-preuves correspondantes nécessiteront des témoignages et des expertises. En tant qu'il s'agira de reconstituer les opérations de révision d'une banque sur plusieurs années, cette procédure probatoire sera inévitablement longue et coûteuse. En l'état de la cause, on ne peut guère attendre de la défenderesse qu'elle fournisse des indications plus précises au sujet des preuves à administrer. Le droit cantonal de procédure n'exige pas d'offre de preuves détaillée avant que le Tribunal de première instance n'ordonne une procédure probatoire; c'est à ce stade, seulement, que les parties sont invitées à déposer la liste de leurs témoins et, si une expertise est jugée utile, entendues au sujet de la désignation de l'expert et de la mission à accomplir par ce spécialiste (Bertossa/Gaillard/Guyet/Schmidt, Commentaire de la loi de procédure civile du canton de Genève, nos 2 ad art. 126, 3 ad art. 192, 5 ad art. 197, 1 et ss ad art. 215, 3 et ss ad art. 256 LPC ). Dans la présente affaire, une procédure probatoire n'a été ordonnée que sur les faits déterminants pour la prescription. Dans son examen de la recevabilité du recours, le Tribunal fédéral doit tenir compte de ce contexte procédural. Il convient de souligner que dans la suite du procès, le cas échéant, l'offre de preuves incombera au premier chef à la partie qui revendique un dédommagement, c'est-à-dire à celle qui répond au recours en matière civile, et que cette offre future n'est évidemment pas connue de la partie recourante. Par conséquent, en définitive, le recours en matière civile se révèle recevable au regard des conditions posées par l' art. 93 al. 1 let. b LTF .</w:t>
      </w:r>
    </w:p>
    <w:p>
      <w:r>
        <w:rPr>
          <w:b/>
        </w:rPr>
        <w:t>E. 2.4</w:t>
      </w:r>
    </w:p>
    <w:p>
      <w:r>
        <w:t>Les autres conditions de recevabilité sont par ailleurs satisfaites. Le recours est dirigé contre un jugement de dernière instance cantonale ( art. 75 al. 1 LTF ), rendu en matière civile ( art. 72 al. 1 LTF ); il a été introduit en temps utile ( art. 100 al. 1 LTF ) et dans les formes requises (art. 42 al. 1 à 3 LTF). Son auteur a pris part à l'instance précédente et succombé dans ses conclusions ( art. 76 al. 1 LTF ); enfin, la valeur litigieuse excède le minimum légal de 30'000 fr. ( art. 51 al. 1 let . c et 74 al. 1 let. b LTF).</w:t>
      </w:r>
    </w:p>
    <w:p>
      <w:r>
        <w:rPr>
          <w:b/>
        </w:rPr>
        <w:t>E. 2.5</w:t>
      </w:r>
    </w:p>
    <w:p>
      <w:r>
        <w:t>Les parties ont valablement usé de leur droit de déposer sans délai une réplique et une duplique alors qu'elles n'y étaient pas invitées ( ATF 133 I 98 consid. 2.2 p. 99/100).</w:t>
      </w:r>
    </w:p>
    <w:p>
      <w:r>
        <w:rPr>
          <w:b/>
        </w:rPr>
        <w:t>E. 3</w:t>
      </w:r>
    </w:p>
    <w:p>
      <w:r>
        <w:t>Il est constant que la demanderesse exerce une action en dommages-intérêts fondée sur l' art. 755 al. 1 CO et que cette action est soumise au délai de prescription de cinq ans prévu par l' art. 760 al. 1 CO . Ce délai court du jour où le lésé a eu connaissance du dommage et de la personne qui en est responsable. Selon la jurisprudence, la première de ces deux conditions légales s'accomplit au moment où le lésé acquiert une connaissance suffisante du dommage pour pouvoir ouvrir action, c'est-à-dire lorsque le lésé apprend, relativement à l'existence, à la nature et aux éléments du dommage, les circonstances propres à fonder et à motiver une demande en justice. Le lésé n'est pas censé différer sa demande jusqu'au moment où il connaît le montant absolument exact de son préjudice car au besoin, ce montant sera estimé selon l' art. 42 al. 2 CO ( ATF 131 III 61 consid. 3.1.1 p. 68). Le dommage est tenu pour suffisamment défini lorsque le lésé détient assez d'éléments pour être en mesure de l'apprécier ( ATF 111 II 55 consid. 3a p. 57; 109 II 433 consid. 2 p. 434; 108 Ib 97 consid. 1c p. 100). Si l'ampleur du préjudice dépend d'une situation qui évolue, la prescription ne court pas avant le terme de cette évolution ( ATF 108 Ib 97 consid. 1c p. 100; 93 II 498 consid. 2 p. 503).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 ATF 112 II 118 consid. 4 p. 123). La Cour de justice s'est dûment référée à ces principes et nul ne conteste leur validité dans la présente contestation.</w:t>
      </w:r>
    </w:p>
    <w:p>
      <w:r>
        <w:rPr>
          <w:b/>
        </w:rPr>
        <w:t>E. 4</w:t>
      </w:r>
    </w:p>
    <w:p>
      <w:r>
        <w:t>La défenderesse soutient que le dommage subi par son adverse partie n'a plus augmenté après la vente des actions intervenue le 10 avril 1996, et que la valeur hypothétique de ces titres sans l'effet des malversations, à cette date, pouvait être évaluée aussitôt. A l'appui de cette thèse, elle fait valoir que la demanderesse n'apporte dans le procès, pour fonder sa propre évaluation du dommage, aucun élément dont elle aurait eu connaissance seulement après la vente des actions, hormis la sentence arbitrale de 2003 qui ne concerne pas la valeur hypothétique des titres mais leur prix de vente effectif. Elle soutient donc que le délai de prescription s'est écoulé dès le 10 avril 1996. La Cour de justice lui oppose qu'à ce moment, il n'était pas encore possible d'apprécier le dommage causé par des malversations que l'on venait de découvrir. Or, conformément à l'argumentation développée à l'appui du recours, ce n'est pas pour réparer ce dommage, subi par la Banque B.________ SA, que la défenderesse est poursuivie; la demanderesse la recherche à raison d'un autre dommage, consistant dans la diminution de la valeur de ses propres actions de la Banque B.________ SA. L'appréciation de ce dommage-ci, seul pertinent, nécessite d'estimer la valeur hypothétique des actions si les malversations n'étaient pas survenues, ou si elles avaient été découvertes beaucoup plus tôt. Comme on l'a déjà vu (consid. 2.2), cette évaluation ne nécessite pas de connaître le préjudice causé par le gestionnaire; il faut au contraire en faire abstraction. La durée des investigations qui ont été nécessaires pour élucider ledit préjudice n'a donc aucune incidence sur le point de départ du délai de prescription de l'action présentement litigieuse. En dépit de l'opinion différente avancée par la demanderesse, il n'était pas non plus indispensable de connaître à quelle date le gestionnaire avait débuté dans ses agissements frauduleux.</w:t>
      </w:r>
    </w:p>
    <w:p>
      <w:r>
        <w:rPr>
          <w:b/>
        </w:rPr>
        <w:t>E. 5</w:t>
      </w:r>
    </w:p>
    <w:p>
      <w:r>
        <w:t>Dans sa réponse au recours, la demanderesse explique qu'elle a estimé la valeur hypothétique de sa participation à 3'700 ou 3'703 fr. par action, « notamment en fonction du développement de l'activité, de l'accroissement de la masse des actifs sous gestion et de l'augmentation de la capacité bénéficiaire de [la banque] entre 1994 et avril 1996 », et que ces éléments ne lui ont été connus qu'après le 10 avril 1996. Elle invoque l'expérience générale des affaires pour faire entendre que les données analytiques de ce type ne sont disponibles que « quelque temps après, au fur et à mesure de la remise des tableaux de bord de gestion et des comptes ». En tant que la Cour de justice constate que ces éléments d'évaluation étaient connus avant le 10 avril 1996, la demanderesse tient l'état de fait pour manifestement inexact aux termes de l' art. 105 al. 2 LTF , et sujet à rectification selon cette disposition. Cette argumentation ne convainc pas. L'administrateur de la demanderesse était le directeur général de la banque. A ce titre, il était régulièrement informé de la marche des affaires et il pouvait, au besoin, obtenir rapidement des renseignements spécifiques. Dans ces conditions, la demanderesse disposait à tout moment des données nécessaires pour qu'elle pût alléguer, dans une demande en justice, une valeur suffisamment rapprochée de la valeur actuelle - abstraction faite de toute fraude ou dissimulation à l'intérieur de l'établissement - de sa participation au capital de la Banque B.________ SA. Il faut rappeler ici que l'évaluation d'actions qui ne sont pas cotées en bourse comporte de toute manière une marge d'incertitude et que la partie lésée n'est pas censée ajourner une action en dommages-intérêts jusqu'au moment où elle connaît exactement le préjudice subi.</w:t>
      </w:r>
    </w:p>
    <w:p>
      <w:r>
        <w:rPr>
          <w:b/>
        </w:rPr>
        <w:t>E. 6</w:t>
      </w:r>
    </w:p>
    <w:p>
      <w:r>
        <w:t>La demanderesse expose encore que le 10 avril 1996, elle n'était pas non plus en mesure d'estimer la valeur actuelle réelle de sa participation, et que, en particulier, le prix fixé dans la convention de vente des actions ne reflétait pas cette valeur. Elle fait valoir que selon les clauses de cette convention, le prix serait révisé à la hausse si l'assainissement imposé par la Commission fédérale des banques se révélait exagéré. D'après l'arrêt de la Cour de justice, le dommage allégué par la demanderesse consiste dans la différence entre la valeur hypothétique des actions et le prix de vente, inférieur, effectivement obtenu des deux sociétés acquéresses. De toute évidence, à suivre cette approche, il n'est pas nécessaire d'estimer la valeur réelle de la participation au 10 avril 1996 parce que cette valeur n'a pas d'incidence sur le montant du dommage ainsi défini, et en conséquence, les difficultés de cette estimation ne peuvent pas non plus influencer le jugement sur le point de départ du délai de prescription. Lorsque le droit fédéral prévoit l'obligation de réparer un dommage, celui-ci consiste dans une diminution involontaire de la fortune nette et il correspond à la différence entre le montant actuel du patrimoine du lésé et le montant que ce même patrimoine aurait si le fait dommageable ne s'était pas produit ( ATF 133 III 462 consid. 4.4.2 p. 471; 132 III 359 consid. 4 p. 366; 132 III 321 consid. 2.2.1 p. 323/324). En l'occurrence, la demanderesse n'a pas allégué un dommage à calculer d'après le montant de son patrimoine après que les malversations eurent pris fin, et elle souligne même que le prix de vente de ses actions ne correspond pas à ce montant. Dans ces conditions, il est possible que l'action doive être rejetée au motif que le préjudice allégué n'est pas un dommage aux termes de l' art. 755 al. 1 CO . Quoi qu'il en soit, le point de départ du délai de prescription doit être déterminé sur des bases objectives. De ce point de vue, les clauses que la demanderesse et ses cocontractantes ont trouvé bon d'insérer dans leur accord du 10 avril 1996, en vue d'un réajustement du prix convenu entre elles, ne sont pas décisives.</w:t>
      </w:r>
    </w:p>
    <w:p>
      <w:r>
        <w:rPr>
          <w:b/>
        </w:rPr>
        <w:t>E. 7</w:t>
      </w:r>
    </w:p>
    <w:p>
      <w:r>
        <w:t>La Cour de justice retient que la deuxième des conditions de l' art. 760 al. 1 CO n'était pas non plus accomplie au 10 avril 1996. Selon son arrêt, « ce ne sont que les rapports rendus par [la défenderesse] les 31 mai et 28 octobre 1996, ainsi que le rapport d'expertise de C.________ du 31 mai 1997 [...] qui ont permis à la [demanderesse] de connaître et d'étayer les faits qu'elle souhaitait imputer à [la défenderesse] ». A l'appui du recours en matière civile, cette partie-ci indique sans être contredite que les trois documents ainsi mentionnés concernent exclusivement la révision des comptes de la Banque B.________ SA, que la révision de ceux de la demanderesse n'y est aucunement abordée et que le nom même de cette dernière n'y apparaît pas. Elle souligne que selon les constatations de la Cour, fondées sur l'aveu de la demanderesse, celle-ci a « bien évidemment tout de suite soupçonné que seuls les manquements de son organe de révision avaient pu l'entretenir dans l'illusion que la valeur de [la] Banque B.________ SA inscrite [à son] bilan était correcte ». On observe là encore que la Cour de justice confond les tâches de l'organe de révision de la banque avec celles de l'organe de révision de la société actionnaire, et le dommage de la banque avec celui de l'actionnaire. Cela ne se justifie pas, alors même que la défenderesse était simultanément organe de révision dans ces deux sociétés anonymes. En réalité, au 10 avril 2006 déjà, si la demanderesse se considérait lésée par suite d'une révision défectueuse de ses propres comptes, la défenderesse était la seule responsable entrant en considération. La demanderesse avait ainsi connaissance de la personne qu'il fallait rechercher.</w:t>
      </w:r>
    </w:p>
    <w:p>
      <w:r>
        <w:rPr>
          <w:b/>
        </w:rPr>
        <w:t>E. 8</w:t>
      </w:r>
    </w:p>
    <w:p>
      <w:r>
        <w:t>Le délai de prescription de cinq ans a donc effectivement couru dès le 10 avril 1996. En vertu des art. 77 al. 1 ch. 3, 77 al. 2 et 132 al. 1 et 2 CO, le dernier jour de ce délai s'est écoulé le lundi 10 avril 2001. La prescription était acquise à la défenderesse lorsque le lendemain, celle-ci a déclaré y renoncer sous condition que, précisément, elle ne fût pas déjà acquise. Cette déclaration ne lui est donc pas opposable et l'action de son adverse partie est atteinte par la prescription. Ainsi, le recours en matière civile se révèle fondé, ce qui entraîne la réforme de l'arrêt critiqué.</w:t>
      </w:r>
    </w:p>
    <w:p>
      <w:r>
        <w:rPr>
          <w:b/>
        </w:rPr>
        <w:t>E. 9</w:t>
      </w:r>
    </w:p>
    <w:p>
      <w:r>
        <w:t>Pour la demande de révision, il n'est pas perçu d'émolument judiciaire et la caisse du Tribunal fédéral doit verser des dépens à la défenderesse. La caisse doit en outre lui restituer l'émolument perçu en exécution de l'arrêt annulé. Pour le recours en matière civile, à titre de partie qui succombe, la demanderesse doit acquitter l'émolument à percevoir par le Tribunal fédéral et verser les dépens auxquels la défenderesse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