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4F_57/2025 vom 19. Januar 2026</w:t>
      </w:r>
    </w:p>
    <w:p>
      <w:r>
        <w:t>Bundesgericht, 2026-01-19, DE</w:t>
      </w:r>
    </w:p>
    <w:p>
      <w:r>
        <w:rPr>
          <w:b/>
        </w:rPr>
        <w:t xml:space="preserve">Quelle: </w:t>
      </w:r>
      <w:r>
        <w:t>https://mcp.opencaselaw.ch/entscheid/bger_4F_57_2025</w:t>
      </w:r>
    </w:p>
    <w:p>
      <w:r>
        <w:t>FR: TF 4F_57/2025 du 19 janvier 2026</w:t>
      </w:r>
    </w:p>
    <w:p>
      <w:r>
        <w:t>IT: TF 4F_57/2025 del 19 gennaio 2026</w:t>
      </w:r>
    </w:p>
    <w:p>
      <w:pPr>
        <w:pStyle w:val="Heading2"/>
      </w:pPr>
      <w:r>
        <w:t>Erwägungen</w:t>
      </w:r>
    </w:p>
    <w:p>
      <w:r>
        <w:rPr>
          <w:b/>
        </w:rPr>
        <w:t>E. 1</w:t>
      </w:r>
    </w:p>
    <w:p>
      <w:r>
        <w:t>Der Gesuchsteller hat sein Revisionsgesuch in französischer Sprache eingereicht. Gemäss Art. 54 Abs. 1 BGG wird das bundesgerichtliche Verfahren in der Regel in der Sprache des angefochtenen Urteils geführt, weshalb das Urteil des Bundesgerichts vorliegend in deutscher Sprache ergeht.</w:t>
      </w:r>
    </w:p>
    <w:p>
      <w:r>
        <w:rPr>
          <w:b/>
        </w:rPr>
        <w:t>E. 2.1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bis Art. 123 BGG abschliessend aufgeführten Revisionsgründe vorliegt ( BGE 149 III 93 E. 1.1; 147 III 238 E. 1.1).</w:t>
      </w:r>
    </w:p>
    <w:p>
      <w:r>
        <w:rPr>
          <w:b/>
        </w:rPr>
        <w:t>E. 2.2</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rPr>
          <w:b/>
        </w:rPr>
        <w:t>E. 2.3</w:t>
      </w:r>
    </w:p>
    <w:p>
      <w:r>
        <w:t>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(Urteil 4F_17/2024 vom 6. Februar 2025 E. 1.2 mit Hinweis). Die Revision dient nicht dazu, die Rechtslage erneut zu diskutieren und inhaltlich eine Neubeurteilung des ergangenen bundesgerichtlichen Urteils zu verlangen (Urteile 4F_8/2024 vom 18. April 2024 E. 1.2; 4F_2/2024 vom 23. Februar 2024 E. 2.2; je mit Hinweisen).</w:t>
      </w:r>
    </w:p>
    <w:p>
      <w:r>
        <w:rPr>
          <w:b/>
        </w:rPr>
        <w:t>E. 3</w:t>
      </w:r>
    </w:p>
    <w:p>
      <w:r>
        <w:t>Diesen Begründungsanforderungen genügt die Eingabe des Gesuchstellers offensichtlich nicht. Der Gesuchsteller beruft sich auf Art. 122 BGG , begründet aber nicht, inwiefern dieser Revisionsgrund vorliegen soll. Er hat bezüglich des Urteils 4D_165/2025 vom 29. Oktober 2025 nicht den Europäischen Gerichtshof für Menschenrechte angerufen. Damit fehlt es bereits an einem endgültigen Urteil dieses Gerichtshofes im Sinne von Art. 122 lit. a BGG . Der Gesuchsteller übt einzig inhaltliche Kritik am bundesgerichtlichen Urteil und moniert, das Bundesgericht sei nicht inhaltlich auf seine Beschwerde eingegangen und habe damit Bundesrecht verletzt. Der Gesuchsteller übersieht dabei, dass die Revision ihm nicht die Möglichkeit eröffnet, einen Entscheid, den er in rechtlicher Hinsicht für unrichtig hält, neu beurteilen zu lassen (Urteile 4F_49/2025 vom 9. Dezember 2025 E. 3.1; 4F_37/2025 vom 16. Oktober 2025 E. 3.2; 4F_18/2025 vom 26. Juni 2025 E. 3.2; 4F_2/2024 vom 23. Februar 2024 E. 2.2; je mit Hinweisen). Das Revisionsgesuch ist somit nicht rechtsgenügend begründet, weshalb darauf - ohne Durchführung eines Schriftenwechsels ( Art. 127 BGG ) - nicht einzutreten ist.</w:t>
      </w:r>
    </w:p>
    <w:p>
      <w:r>
        <w:rPr>
          <w:b/>
        </w:rPr>
        <w:t>E. 4</w:t>
      </w:r>
    </w:p>
    <w:p>
      <w:r>
        <w:t>Das Gesuch um Gewährung der unentgeltlichen Rechtspflege für das bundesgerichtliche Verfahren ist abzuweisen, weil das Revisionsgesuch als von vornherein aussichtslos erscheint ( Art. 64 Abs. 1 BGG ). Darüber musste unter den gegebenen Umständen nicht vorgängig separat entschieden werden (vgl. Urteil 4A_20/2011 vom 11. April 2011 E. 7.2.2).</w:t>
      </w:r>
    </w:p>
    <w:p>
      <w:r>
        <w:rPr>
          <w:b/>
        </w:rPr>
        <w:t>E. 5</w:t>
      </w:r>
    </w:p>
    <w:p>
      <w:r>
        <w:t>Dem Ausgang des Verfahrens entsprechend wird der Gesuchsteller kostenpflichtig ( Art. 66 Abs.1 BGG ). Dem Gesuchsgegner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