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4F_53/2025 vom 22. Dezember 2025</w:t>
      </w:r>
    </w:p>
    <w:p>
      <w:r>
        <w:t>Bundesgericht, 2025-12-22, DE</w:t>
      </w:r>
    </w:p>
    <w:p>
      <w:r>
        <w:rPr>
          <w:b/>
        </w:rPr>
        <w:t xml:space="preserve">Quelle: </w:t>
      </w:r>
      <w:r>
        <w:t>https://mcp.opencaselaw.ch/entscheid/bger_4F_53_2025</w:t>
      </w:r>
    </w:p>
    <w:p>
      <w:r>
        <w:t>FR: TF 4F_53/2025 du 22 décembre 2025</w:t>
      </w:r>
    </w:p>
    <w:p>
      <w:r>
        <w:t>IT: TF 4F_53/2025 del 22 dicembre 2025</w:t>
      </w:r>
    </w:p>
    <w:p>
      <w:pPr>
        <w:pStyle w:val="Heading2"/>
      </w:pPr>
      <w:r>
        <w:t>Erwägungen</w:t>
      </w:r>
    </w:p>
    <w:p>
      <w:r>
        <w:rPr>
          <w:b/>
        </w:rPr>
        <w:t>E. 1</w:t>
      </w:r>
    </w:p>
    <w:p>
      <w:r>
        <w:t>Die Begründungsanforderungen an ein Revisionsgesuch an das Bundesgericht sind dem Gesuchsteller aus seinen zahlreichen Gesuchen bestens bekannt (vgl. etwa Urteile 4F_43/2025 vom 4. November 2025; 4F_37/2025 vom 16. Oktober 2025; 4F_24/2025 vom 24. September 2025; 4F_34/2025 vom 22. September 2025; 4F_11/2025 vom 24. Juni 2025). Doch auch mit seiner neusten Eingabe genügt er diesen Anforderungen offensichtlich nicht. Er beruft sich zwar auf Art. 121 lit. b und c BGG . Er legt aber offensichtlich nicht rechtsgenüglich dar, inwiefern diese Revisionsgründe vorliegen sollen. Das Revisionsgesuch ist somit nicht rechtsgenügend begründet, weshalb darauf - ohne Durchführung eines Schriftenwechsels ( Art. 127 BGG ) - nicht einzutreten ist.</w:t>
      </w:r>
    </w:p>
    <w:p>
      <w:r>
        <w:rPr>
          <w:b/>
        </w:rPr>
        <w:t>E. 2</w:t>
      </w:r>
    </w:p>
    <w:p>
      <w:r>
        <w:t>Das Gesuch um Gewährung der unentgeltlichen Rechtspflege für das bundesgerichtliche Verfahren ist abzuweisen, weil das erneute Revisionsgesuch als von vornherein aussichtslos erscheint ( Art. 64 Abs. 1 BGG ). Darüber musste unter den gegebenen Umständen nicht vorgängig separat entschieden werden (vgl. Urteil 4A_20/2011 vom 11. April 2011 E. 7.2.2).</w:t>
      </w:r>
    </w:p>
    <w:p>
      <w:r>
        <w:rPr>
          <w:b/>
        </w:rPr>
        <w:t>E. 3</w:t>
      </w:r>
    </w:p>
    <w:p>
      <w:r>
        <w:t>Bei diesem Ausgang des Verfahrens sind die Gerichtskosten dem Gesuchsteller aufzuerlegen ( Art. 66 Abs. 1 BGG ). Dem Gesuchsgegner ist keine Parteientschädigung zuzusprechen, zumal ihm aus dem bundesgerichtlichen Verfahren kein entschädigungspflichtiger Aufwand erwachsen ist (Art. 63 Abs. 2 und 3).</w:t>
      </w:r>
    </w:p>
    <w:p>
      <w:r>
        <w:rPr>
          <w:b/>
        </w:rPr>
        <w:t>E. 4</w:t>
      </w:r>
    </w:p>
    <w:p>
      <w:r>
        <w:t>Die zahlreichen Verfahrensanträge hinsichtlich der Verfügung vom 18. November 2025, die offensichtlich querulatorische Züge aufweisen, werden mit diesem Entscheid in der Sache selbst ohnehin gegenstandslos.</w:t>
      </w:r>
    </w:p>
    <w:p>
      <w:r>
        <w:rPr>
          <w:b/>
        </w:rPr>
        <w:t>E. 5</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