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4F_48/2025 vom 8. Januar 2026</w:t>
      </w:r>
    </w:p>
    <w:p>
      <w:r>
        <w:t>Bundesgericht, 2026-01-08, DE</w:t>
      </w:r>
    </w:p>
    <w:p>
      <w:r>
        <w:rPr>
          <w:b/>
        </w:rPr>
        <w:t xml:space="preserve">Quelle: </w:t>
      </w:r>
      <w:r>
        <w:t>https://mcp.opencaselaw.ch/entscheid/bger_4F_48_2025</w:t>
      </w:r>
    </w:p>
    <w:p>
      <w:r>
        <w:t>FR: TF 4F_48/2025 du 8 janvier 2026</w:t>
      </w:r>
    </w:p>
    <w:p>
      <w:r>
        <w:t>IT: TF 4F_48/2025 del 8 gennaio 2026</w:t>
      </w:r>
    </w:p>
    <w:p>
      <w:pPr>
        <w:pStyle w:val="Heading2"/>
      </w:pPr>
      <w:r>
        <w:t>Erwägungen</w:t>
      </w:r>
    </w:p>
    <w:p>
      <w:r>
        <w:rPr>
          <w:b/>
        </w:rPr>
        <w:t>E. 1</w:t>
      </w:r>
    </w:p>
    <w:p>
      <w:r>
        <w:t>Die Revision eines Entscheids des Bundesgerichts kann nur aus den in den Art. 121-123 BGG abschliessend aufgezählten Gründen verlangt werden (vgl. BGE 150 I 99 E. 1.1; 147 III 238 E. 1.1).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Grundes einfach zu behaupten; vielmehr muss dargetan werden, weshalb dieser gegeben und inwiefern gestützt darauf das Urteilsdispositiv abzuändern ist (siehe etwa Urteil 4F_27/2025 vom 15. September 2025 E. 1.2).</w:t>
      </w:r>
    </w:p>
    <w:p>
      <w:r>
        <w:rPr>
          <w:b/>
        </w:rPr>
        <w:t>E. 2</w:t>
      </w:r>
    </w:p>
    <w:p>
      <w:r>
        <w:t>Die Gesuchstellerin stützt ihr Revisionsbegehren auf Art. 123 Abs. 2 lit. a BGG . Sie macht geltend, im kantonalen Verfahren seien zahlreiche Beweismittel "veruntreut" worden. Nach Art. 123 Abs. 2 lit. a BGG ist eine Revision möglich, wenn die ersuchende Partei nachträglich erhebliche Tatsachen erfährt oder entscheidende Beweismittel auffindet, die sie im früheren Verfahren trotz gehöriger Aufmerksamkeit nicht beibringen konnte, unter Ausschluss der Tatsachen und Beweismittel, die erst nach dem Entscheid entstanden sind. Die Gesuchstellerin zeigt nicht auf, wann genau sie Kenntnis von den neuen Beweismitteln erlangt hat, die sie in ihrem Revisionsgesuch und den späteren Nachträgen aufzählt. Ebenso wenig legt sie dar, weshalb sie sich auf diese Beweismittel nicht bereits im kantonalen Verfahren habe berufen können und weshalb genau diese unechten Noven für das vorliegende Verfahren im Einzelnen relevant sein sollen. Ihr Revisionsgesuch genügt somit den Begründungsanforderungen von Art. 42 Abs. 2 Satz 1 BGG nicht. Zusammenfassend hat die Gesuchstellerin ihr Revisionsgesuch unzureichend begründet, weshalb ohne Schriftenwechsel darauf nicht einzutreten ist ( Art. 127 BGG ).</w:t>
      </w:r>
    </w:p>
    <w:p>
      <w:r>
        <w:rPr>
          <w:b/>
        </w:rPr>
        <w:t>E. 3</w:t>
      </w:r>
    </w:p>
    <w:p>
      <w:r>
        <w:t>Die Gesuchstellerin wird bei diesem Verfahrensausgang kostenpflichtig ( Art. 66 Abs. 1 BGG ). Die Gesuchsgegnerin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