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4F_44/2025 vom 27. März 2026</w:t>
      </w:r>
    </w:p>
    <w:p>
      <w:r>
        <w:t>Bundesgericht, 2026-03-27, FR</w:t>
      </w:r>
    </w:p>
    <w:p>
      <w:r>
        <w:rPr>
          <w:b/>
        </w:rPr>
        <w:t xml:space="preserve">Quelle: </w:t>
      </w:r>
      <w:r>
        <w:t>https://mcp.opencaselaw.ch/entscheid/bger_4F_44_2025</w:t>
      </w:r>
    </w:p>
    <w:p>
      <w:r>
        <w:t>FR: TF 4F_44/2025 du 27 mars 2026</w:t>
      </w:r>
    </w:p>
    <w:p>
      <w:r>
        <w:t>IT: TF 4F_44/2025 del 27 marzo 2026</w:t>
      </w:r>
    </w:p>
    <w:p>
      <w:pPr>
        <w:pStyle w:val="Heading2"/>
      </w:pPr>
      <w:r>
        <w:t>Erwägungen</w:t>
      </w:r>
    </w:p>
    <w:p>
      <w:r>
        <w:rPr>
          <w:b/>
        </w:rPr>
        <w:t>E. 1</w:t>
      </w:r>
    </w:p>
    <w:p>
      <w:r>
        <w:t>Les conclusions de la demande de révision qui n'ont pas directement trait à l'objet du litige de l'arrêt rendu par le Tribunal fédéral le 14 juillet 2025 dans la cause 4F_10/2025 et les conclusions que le requérant a formulées le 29 octobre 2025 sont nouvelles. Partant, elles sont irrecevables ( art. 99 al. 2 LTF ).</w:t>
      </w:r>
    </w:p>
    <w:p>
      <w:r>
        <w:rPr>
          <w:b/>
        </w:rPr>
        <w:t>E. 2.1</w:t>
      </w:r>
    </w:p>
    <w:p>
      <w:r>
        <w:t>Selon l' art. 61 LTF , les arrêts du Tribunal fédéral entrent en force dès leur prononcé. Cela signifie qu'il n'existe pas de voie de recours ou d'opposition à leur encontre. Seule est envisageable une demande de révision pour les motifs exhaustivement énumérés aux art. 121 à 123 LTF. La demande de révision est soumise aux exigences de motivation découlant de l' art. 42 al. 1 et 2 LTF (arrêts 4F_8/2023 du 21 novembre 2023 consid. 1.1; 5F_14/2016 du 14 mars 2017 consid. 1.1; 2F_13/2014 du 14 août 2014 consid. 4; 2F_4/2014 du 20 mars 2014 consid. 2.1). Il incombe ainsi à la partie requérante de mentionner le motif de révision dont elle se prévaut et d'expliquer en quoi ce motif serait réalisé sous peine de voir sa demande déclarée irrecevable (arrêts 4F_8/2023 précité consid. 1.1; 1F_22/2019 du 4 juin 2019 consid. 1).</w:t>
      </w:r>
    </w:p>
    <w:p>
      <w:r>
        <w:t>Un arrêt de révision du Tribunal fédéral ne peut faire l'objet d'une demande de révision que si la procédure de révision elle-même a été entachée d'irrégularités ( ATF 31 I 275 consid. 1; arrêts 4F_8/2023 précité consid. 1.2 et la référence citée; 1A.173/2004 du 11 août 2004 consid. 2). Un motif de révision déjà soulevé et écarté par l'arrêt de révision du Tribunal fédéral ne peut pas faire l'objet d'une seconde révision. L'objet de la révision n'ayant pas changé sur ce point avec l'entrée en vigueur, le 1</w:t>
      </w:r>
    </w:p>
    <w:p>
      <w:r>
        <w:t>er janvier 2007, de la loi fédérale sur le Tribunal fédéral (LTF), la jurisprudence précitée rendue sous l'empire de l'art. 136 de l'ancienne loi d'organisation judiciaire (OJ) est toujours valable (arrêt 4F_8/2023 précité consid. 1.2).</w:t>
      </w:r>
    </w:p>
    <w:p>
      <w:r>
        <w:rPr>
          <w:b/>
        </w:rPr>
        <w:t>E. 2.2</w:t>
      </w:r>
    </w:p>
    <w:p>
      <w:r>
        <w:t>Le requérant invoque que le Tribunal fédéral "[n]'a pas du tout statué sur aucune de [s]es conclusions"et qu'il "[n]'a pas pris en considération tous les faits pertinents qui ressortent de [s]on dossier". Il reproche également au Tribunal fédéral d'avoir ignoré sa prétendue obligation d'examiner d'office "les conditions de la nullité" au regard des art. 121 et 123 LTF . Il soutient que l'arrêt 4F_10/2025 n'analyse pas sa demande de révision et viole donc les art. 9, 29 et 30 Cst. et qu'il ne contient pas ses conclusions, ses allégués, ses moyens de preuve et ses déterminations, ne respecte donc pas les exigences de l' art. 112 LTF et est ainsi "un papier dépourvu de toute substance"et que sa notification est "incomplète". Il invoque également que "l'arrêt a omis/dissimulé des preuves essentielles et décisives pour la résolution de l'affaire, soutenant ainsi le renversement de l'ordre constitutionnel suisse et d'autres violations extrêmement graves du Code pénal suisse commises par cette vaste entreprise malfaitrice avec des connotations internationales précisément identifiée [sic]".</w:t>
      </w:r>
    </w:p>
    <w:p>
      <w:r>
        <w:t>En substance, le requérant soutient à nouveau que la prétendue absence de procuration du conseil de l'intimée devrait conduire à la nullité de toutes les procédures le concernant. Il se réfère notamment à un courrier de la Cour de justice du canton de Genève du 10 janvier 2025 à teneur duquel "[l'intimée] a, à plusieurs reprises, oralement confirmé devant les autorités être assistée par Me Yves NIDEGGER, de sorte que la question de la constitution de ce dernier ne se pose pas".</w:t>
      </w:r>
    </w:p>
    <w:p>
      <w:r>
        <w:rPr>
          <w:b/>
        </w:rPr>
        <w:t>E. 2.3</w:t>
      </w:r>
    </w:p>
    <w:p>
      <w:r>
        <w:t>À bien le comprendre, le requérant se prévaut des motifs de révision prévus aux art. 121 et 123 LTF et invoque notamment que le Tribunal fédéral n'aurait pas statué sur certaines conclusions et n'aurait pas pris en considération des faits pertinents qui ressortent du dossier. Il n'explique toutefois pas de manière suffisamment circonstanciée en quoi lesdits motifs seraient ici réalisés. En effet, le requérant ne soutient ni ne démontre, par des renvois précis à la demande de révision qu'il avait formée dans la procédure 4F_10/2025, que, contrairement à ce qu'a retenu le Tribunal fédéral dans l'arrêt ici entrepris, ladite demande aurait établi, dans un grief satisfaisant aux exigences de motivation de l' art. 42 al. 2 LTF , qu'un ou plusieurs motifs de révision tels que prévus exhaustivement aux art. 121 à 123 LTF aurai (en) t été réalisé (s) en l'espèce et qu'elle aurait donc été recevable. Partant, la critique du requérant ne répond pas aux exigences de motivation découlant de l' art. 42 al. 1 et 2 LTF .</w:t>
      </w:r>
    </w:p>
    <w:p>
      <w:r>
        <w:rPr>
          <w:b/>
        </w:rPr>
        <w:t>E. 3</w:t>
      </w:r>
    </w:p>
    <w:p>
      <w:r>
        <w:t>Au vu de ce qui précède, la demande de révision doit être déclarée irrecevable.</w:t>
      </w:r>
    </w:p>
    <w:p>
      <w:r>
        <w:t>Les frais judiciaires seront mis à la charge du requérant, qui succombe ( art. 66 al. 1 LTF ). Dans la mesure où l'intimée n'a pas été invitée à se déterminer sur la demande de révision, il ne lui sera pas alloué de dépens.</w:t>
      </w:r>
    </w:p>
    <w:p>
      <w:r>
        <w:t>Le requérant est expressément avisé que d'ultérieures écritures du même style, en particulier des demandes de révision abusives, seront</w:t>
      </w:r>
    </w:p>
    <w:p>
      <w:r>
        <w:t>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