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4F_41/2025 vom 4. November 2025</w:t>
      </w:r>
    </w:p>
    <w:p>
      <w:r>
        <w:t>Bundesgericht, 2025-11-04, DE</w:t>
      </w:r>
    </w:p>
    <w:p>
      <w:r>
        <w:rPr>
          <w:b/>
        </w:rPr>
        <w:t xml:space="preserve">Quelle: </w:t>
      </w:r>
      <w:r>
        <w:t>https://mcp.opencaselaw.ch/entscheid/bger_4F_41_2025</w:t>
      </w:r>
    </w:p>
    <w:p>
      <w:r>
        <w:t>FR: TF 4F_41/2025 du 4 novembre 2025</w:t>
      </w:r>
    </w:p>
    <w:p>
      <w:r>
        <w:t>IT: TF 4F_41/2025 del 4 novembre 2025</w:t>
      </w:r>
    </w:p>
    <w:p>
      <w:pPr>
        <w:pStyle w:val="Heading2"/>
      </w:pPr>
      <w:r>
        <w:t>Erwägungen</w:t>
      </w:r>
    </w:p>
    <w:p>
      <w:r>
        <w:rPr>
          <w:b/>
        </w:rPr>
        <w:t>E. 1</w:t>
      </w:r>
    </w:p>
    <w:p>
      <w:r>
        <w:t>Mit Urteil 4D_135/2025 vom 21. August 2025 trat das Bundesgericht auf die vom Gesuchsteller eingereichte Beschwerde gegen das Urteil des Obergerichts des Kantons Zürich vom 26. Juni 2025 nicht ein. Mit Eingabe vom 23. September 2025 erklärt der Gesuchsteller dem Bundesgericht, Einspruch gegen den Abschluss des Verfahrens 4D_135/2025 erheben zu wollen.</w:t>
      </w:r>
    </w:p>
    <w:p>
      <w:r>
        <w:rPr>
          <w:b/>
        </w:rPr>
        <w:t>E. 2</w:t>
      </w:r>
    </w:p>
    <w:p>
      <w:r>
        <w:t>Urteile des Bundesgerichts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 Entsprechend wird die Eingabe des Gesuchstellers als Revisionsgesuch gegen das Urteil 4D_135/2025 vom 23. August 2025 entgegen genommen.</w:t>
      </w:r>
    </w:p>
    <w:p>
      <w:r>
        <w:rPr>
          <w:b/>
        </w:rPr>
        <w:t>E. 3</w:t>
      </w:r>
    </w:p>
    <w:p>
      <w:r>
        <w:t>Rechtsschriften müssen die Begehren und deren Begründung mit Angabe der Beweismittel enthalten ( Art. 42 Abs. 1 BGG ), ansonsten darauf nicht eingetreten werden kann ( BGE 147 III 238 E. 1.2.1).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(Urteil 4F_22/2025 vom 4. August 2025 E. 2).</w:t>
      </w:r>
    </w:p>
    <w:p>
      <w:r>
        <w:rPr>
          <w:b/>
        </w:rPr>
        <w:t>E. 4</w:t>
      </w:r>
    </w:p>
    <w:p>
      <w:r>
        <w:t>Diesen Begründungsanforderungen genügt die Eingabe des Gesuchstellers offensichtlich nicht. Er schildert darin aus seiner Sicht den Sachverhalt, wie es zur Unterschrift auf der im Rechtsöffnungsverfahren erheblichen Unterschrift auf einer Schuldanerkennung gekommen sei und erhebt in diesem Zusammenhang strafrechtliche Vorwürfe. Der Gesuchsteller beruft sich hingegen nicht auf einen Revisionsgrund nach Art. 121 - 123 BGG , geschweige denn zeigt er rechtsgenüglich auf, inwiefern bezüglich dem Urteil des Bundesgerichts vom 21. August 2025 ein Revisionsgrund vorliegen soll (Erwägung 3). Das Revisionsgesuch ist somit nicht rechtsgenügend begründet, weshalb darauf - ohne Durchführung eines Schriftenwechsels ( Art. 127 BGG ) - nicht einzutreten ist.</w:t>
      </w:r>
    </w:p>
    <w:p>
      <w:r>
        <w:rPr>
          <w:b/>
        </w:rPr>
        <w:t>E. 5</w:t>
      </w:r>
    </w:p>
    <w:p>
      <w:r>
        <w:t>Bei diesem Ausgang des Verfahrens sind die Gerichtskosten dem Gesuchsteller aufzuerlegen ( Art. 66 Abs. 1 BGG ). Der Gesuchsgegner hat keinen Anspruch auf eine Parteientschädigung, da ihm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