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 3/2022 vom 11. Februar 2022</w:t>
      </w:r>
    </w:p>
    <w:p>
      <w:r>
        <w:t>Bundesgericht, 2022-02-11, DE</w:t>
      </w:r>
    </w:p>
    <w:p>
      <w:r>
        <w:rPr>
          <w:b/>
        </w:rPr>
        <w:t xml:space="preserve">Quelle: </w:t>
      </w:r>
      <w:r>
        <w:t>https://mcp.opencaselaw.ch/entscheid/bger_4F_3_2022</w:t>
      </w:r>
    </w:p>
    <w:p>
      <w:r>
        <w:t>FR: TF 4F 3/2022 du 11 février 2022</w:t>
      </w:r>
    </w:p>
    <w:p>
      <w:r>
        <w:t>IT: TF 4F 3/2022 del 11 febbraio 2022</w:t>
      </w:r>
    </w:p>
    <w:p>
      <w:pPr>
        <w:pStyle w:val="Heading2"/>
      </w:pPr>
      <w:r>
        <w:t>Regeste</w:t>
      </w:r>
    </w:p>
    <w:p>
      <w:r>
        <w:t>Versicherungsvertrag, Rechtsverzögerungsbeschwerde, | Vertragsrecht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4D_65/2021 vom 5. Januar 2022 trat das Bundesgericht auf eine von A.________ (Gesuchsteller) gegen den Entscheid des Obergerichts des Kantons Bern vom 17. November 2021 erhobene Beschwerde mangels hinreichender Begründung im vereinfachten Verfahren nach Art. 108 Abs. 1 lit. b BGG nicht ein. Mit Eingabe vom 4. Februar 2022 beantragt der Gesuchsteller dem Bundesgericht die Revision des Urteils 4D_65/2021 vom 5. Januar 2022. Es wurden keine Vernehmlassungen eingeholt.</w:t>
      </w:r>
    </w:p>
    <w:p>
      <w:r>
        <w:rPr>
          <w:b/>
        </w:rPr>
        <w:t>E. 2</w:t>
      </w:r>
    </w:p>
    <w:p>
      <w:r>
        <w:t>Die Revision eines Entscheids des Bundesgerichts kann nur aufgrund der in den Art. 121-123 BGG abschliessend aufgezählten Gründe verlangt werden. Rechtsschriften müssen die Begehren und deren Begründung mit Angabe der Beweismittel enthalten ( Art. 42 Abs. 1 BGG ), ansonsten darauf nicht eingetreten werden kann (vgl. BGE 147 III 238 E. 1.2.1). In der Begründung ist in gedrängter Form darzulegen, inwiefern der angefochtene Akt Recht verletzt ( Art. 42 Abs. 2 Satz 1 BGG ). In einem Revisionsgesuch ist dementsprechend unter Angabe der Beweismittel der Revisionsgrund im Einzelnen darzulegen. Dabei genügt es nicht, das Vorliegen eines solchen einfach zu behaupten; vielmehr muss dargetan werden, weshalb dieser gegeben und inwiefern gestützt darauf das Urteilsdispositiv abzuändern ist (siehe etwa Urteil 4F_14/2021 vom 2. Dezember 2021 E. 3 mit Hinweisen).</w:t>
      </w:r>
    </w:p>
    <w:p>
      <w:r>
        <w:rPr>
          <w:b/>
        </w:rPr>
        <w:t>E. 3</w:t>
      </w:r>
    </w:p>
    <w:p>
      <w:r>
        <w:t>Der Gesuchsteller erwähnt zwar Art. 121, 122 und 123 BGG , macht jedoch keine Revisionsgründe im Sinne dieser Bestimmungen geltend, geschweige denn legt er einen solchen im Einzelnen dar. Vielmehr kritisiert er frei das bundesgerichtliche Urteil 4D_65/2021 vom 5. Januar 2022 sowie die Verfahrensleitung des Regionalgerichts. Das Revisionsgesuch ist somit nicht rechtsgenügend begründet, weshalb darauf - ohne Durchführung eines Schriftenwechsels ( Art. 127 BGG ) - nicht einzutreten ist.</w:t>
      </w:r>
    </w:p>
    <w:p>
      <w:r>
        <w:rPr>
          <w:b/>
        </w:rPr>
        <w:t>E. 4</w:t>
      </w:r>
    </w:p>
    <w:p>
      <w:r>
        <w:t>Es ist unklar, ob der Gesuchsteller auch für das Revisionsverfahren (sinngemäss) um unentgeltliche Rechtspflege ersucht. Jedenfalls könnte einem solchen Antrag nicht entsprochen werden, weil das Revisionsgesuch aussichtslos war ( Art. 64 Abs. 1 BGG ). Die Gerichtskosten sind gemäss Art. 66 Abs. 1 BGG dem Gesuchsteller aufzuerlegen. Parteientschädigungen sind keine zuzusprechen ( Art. 68 Abs. 2 und 3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