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4F_2/2022 vom 16. März 2022</w:t>
      </w:r>
    </w:p>
    <w:p>
      <w:r>
        <w:t>Bundesgericht, 2022-03-16, FR</w:t>
      </w:r>
    </w:p>
    <w:p>
      <w:r>
        <w:rPr>
          <w:b/>
        </w:rPr>
        <w:t xml:space="preserve">Quelle: </w:t>
      </w:r>
      <w:r>
        <w:t>https://mcp.opencaselaw.ch/entscheid/bger_4F_2_2022</w:t>
      </w:r>
    </w:p>
    <w:p>
      <w:r>
        <w:t>FR: TF 4F_2/2022 du 16 mars 2022</w:t>
      </w:r>
    </w:p>
    <w:p>
      <w:r>
        <w:t>IT: TF 4F_2/2022 del 16 marzo 2022</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 ATF 147 III 238 consid. 1.2.1 et les arrêts cités; 144 I 214 consid. 1.2).</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 ATF 147 III 238 consid. 1.2.2 et les arrêts cités).</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w:t>
      </w:r>
    </w:p>
    <w:p>
      <w:r>
        <w:t>Par la première décision, dénommée le rescindant, il annule l'arrêt qui est l'objet de la demande de révision. Cette décision d'annulation met un terme à la procédure de révision proprement dite et entraîne la réouverture de la procédure antérieure.</w:t>
      </w:r>
    </w:p>
    <w:p>
      <w:r>
        <w:t>Par la seconde décision, appelée le rescisoire, il statue sur le recours dont il avait été précédemment saisi (cf. art. 128 al. 1 LTF ). Elle sortit un effet</w:t>
      </w:r>
    </w:p>
    <w:p>
      <w:r>
        <w:t>ex tunc , si bien que le Tribunal fédéral et les parties sont replacés dans la situation dans laquelle ils se trouvaient au moment auquel l'arrêt annulé a été rendu, la cause devant être tranchée comme si cet arrêt n'avait jamais existé ( ATF 147 III 238 consid. 1.2.3 et les arrêts cités; 144 I 214 consid. 1.2).</w:t>
      </w:r>
    </w:p>
    <w:p>
      <w:r>
        <w:rPr>
          <w:b/>
        </w:rPr>
        <w:t>E. 2</w:t>
      </w:r>
    </w:p>
    <w:p>
      <w:r>
        <w:t>La requérante invoque (1) que l' art. 6 par. 1 CEDH n'aurait, à tort, pas été appliqué dans l'arrêt entrepris, (2) que la Cour de céans " devaient [sic] tenir compte des remarques de la cour cantonale ", soit que la situation de pandémie l'empêchait de payer les loyers réclamés et que cela constituait une " clause d'imprévisibilité ", (3) que l'arrêt a nié l'existence de novas alors que les mesures d'interdiction fédérales et cantonales ne cessaient d'évoluer, et (4) que, vu l'invocation de novas, la Cour de céans aurait dû convoquer les parties, conformément à l' art. 6 par. 1 CEDH .</w:t>
      </w:r>
    </w:p>
    <w:p>
      <w:r>
        <w:t>La requérante n'établit pas, dans un grief satisfaisant aux exigences de motivation de l' art. 42 al. 2 LTF , qu'un ou plusieurs motifs de révision tels que prévus exhaustivement aux art. 121 à 123 LTF serai (en) t réalisé (s) en l'espèce. Le Tribunal fédéral n'entrera dès lors pas en matière sur sa demande de révision. En tout état de cause, les éléments soulevés par la requérante ne constituent pas des motifs de révision, étant par ailleurs précisé que, assistée d'un avocat, elle n'avait pas, dans la procédure litigieuse, conclu à la convocation des parties ni invoqué l' art. 6 par. 1 CEDH .</w:t>
      </w:r>
    </w:p>
    <w:p>
      <w:r>
        <w:rPr>
          <w:b/>
        </w:rPr>
        <w:t>E. 3</w:t>
      </w:r>
    </w:p>
    <w:p>
      <w:r>
        <w:t>Au vu de ce qui précède, la demande de révision doit être déclarée irrecevable.</w:t>
      </w:r>
    </w:p>
    <w:p>
      <w:r>
        <w:t>Les frais judiciaires seront mis à la charge de la requérante, qui succombe ( art. 66 al. 1 LTF ). Dans la mesure où l'intimée n'a pas été invitée à se déterminer, il ne lui sera pas accordé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