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4F_2/2019 vom 28. Februar 2019</w:t>
      </w:r>
    </w:p>
    <w:p>
      <w:r>
        <w:t>Bundesgericht, 2019-02-28, FR</w:t>
      </w:r>
    </w:p>
    <w:p>
      <w:r>
        <w:rPr>
          <w:b/>
        </w:rPr>
        <w:t xml:space="preserve">Quelle: </w:t>
      </w:r>
      <w:r>
        <w:t>https://mcp.opencaselaw.ch/entscheid/bger_4F_2_2019</w:t>
      </w:r>
    </w:p>
    <w:p>
      <w:r>
        <w:t>FR: TF 4F_2/2019 du 28 février 2019</w:t>
      </w:r>
    </w:p>
    <w:p>
      <w:r>
        <w:t>IT: TF 4F_2/2019 del 28 febbraio 2019</w:t>
      </w:r>
    </w:p>
    <w:p>
      <w:pPr>
        <w:pStyle w:val="Heading2"/>
      </w:pPr>
      <w:r>
        <w:t>Erwägungen</w:t>
      </w:r>
    </w:p>
    <w:p>
      <w:r>
        <w:rPr>
          <w:b/>
        </w:rPr>
        <w:t>E. 1.1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de motivation découlant de l' art. 42 al. 1 et 2 LTF (arrêts 5F_14/2016 du 14 mars 2017 consid. 1.1; 2F_13/2014 du 14 août 2014 consid. 4; 2F_4/2014 du 20 mars 2014 consid. 2.1).</w:t>
      </w:r>
    </w:p>
    <w:p>
      <w:r>
        <w:rPr>
          <w:b/>
        </w:rPr>
        <w:t>E. 1.2</w:t>
      </w:r>
    </w:p>
    <w:p>
      <w:r>
        <w:t>La révision d'un arrêt du Tribunal fédéral peut être demandée si, par inadvertance, le tribunal n'a pas pris en considération des faits pertinents qui ressortent du dossier ( art. 121 let . d LTF). Fondée sur ce motif, elle doit être déposée dans les 30 jours qui suivent la notification de l'expédition complète de l'arrêt ( art. 124 al. 1 let. b LTF ).</w:t>
      </w:r>
    </w:p>
    <w:p>
      <w:r>
        <w:rPr>
          <w:b/>
        </w:rPr>
        <w:t>E. 1.3</w:t>
      </w:r>
    </w:p>
    <w:p>
      <w:r>
        <w:t>La recevabilité de la demande de révision est subordonnée à l'existence d'un intérêt juridique digne de protection. Le requérant doit avoir un intérêt particulier et actuel à la modification de la décision formant l'objet de la demande de révision, laquelle doit être propre à lui procurer le succès escompté ( ATF 114 II 189 consid. 2; arrêts 5F_14/2016 précité consid. 1.3.1; 4A_596/2008 du 6 octobre 2009 consid. 3.5; 5F_1/2008 du 16 mai 2008 consid. 4.4; 4F_3/2007 du 27 juin 2007 consid. 2.3).</w:t>
      </w:r>
    </w:p>
    <w:p>
      <w:r>
        <w:rPr>
          <w:b/>
        </w:rPr>
        <w:t>E. 2.1</w:t>
      </w:r>
    </w:p>
    <w:p>
      <w:r>
        <w:t>En l'occurrence, dans sa demande de révision du 14 janvier 2019, la requérante a déclaré que la procédure d'expulsion diligentée à son encontre était encore en cours; elle en concluait qu'elle avait toujours un intérêt à la révision. Elle a précisé ce fait le 16 janvier 2019, mentionnant que les démarches d'expulsion risquaient d'être terminées à la fin de la journée. En d'autres termes, la procédure d'expulsion était sur le point d'être achevée au moment du dépôt de la requête de révision. Ces éléments ont été confirmés par les intimés.</w:t>
      </w:r>
    </w:p>
    <w:p>
      <w:r>
        <w:rPr>
          <w:b/>
        </w:rPr>
        <w:t>E. 2.2</w:t>
      </w:r>
    </w:p>
    <w:p>
      <w:r>
        <w:t>Dans la mesure où il est établi que la procédure d'expulsion a pris fin le 16 janvier 2019 et que, au plus tard depuis le 24 janvier 2019, les locaux étaient vides de tout contenu et en cours de transformation, la requérante ne dispose pas d'un intérêt actuel à obtenir la modification de l'arrêt entrepris. Dépourvue de tout intérêt juridique digne de protection, sa demande de révision doit donc être déclarée irrecevable. Dès lors, la requête de la requérante tendant à l'octroi de l'effet suspensif à la demande de révision devient sans objet.</w:t>
      </w:r>
    </w:p>
    <w:p>
      <w:r>
        <w:rPr>
          <w:b/>
        </w:rPr>
        <w:t>E. 3</w:t>
      </w:r>
    </w:p>
    <w:p>
      <w:r>
        <w:t>La requérante supportera les frais judiciaires, arrêtés à 1'000 fr., et versera aux intimés, qui se sont prononcés sur la requête d'effet suspensif, des dépens à hauteur de 500 fr.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