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4F_29/2025 vom 15. September 2025</w:t>
      </w:r>
    </w:p>
    <w:p>
      <w:r>
        <w:t>Bundesgericht, 2025-09-15, DE</w:t>
      </w:r>
    </w:p>
    <w:p>
      <w:r>
        <w:rPr>
          <w:b/>
        </w:rPr>
        <w:t xml:space="preserve">Quelle: </w:t>
      </w:r>
      <w:r>
        <w:t>https://mcp.opencaselaw.ch/entscheid/bger_4F_29_2025</w:t>
      </w:r>
    </w:p>
    <w:p>
      <w:r>
        <w:t>FR: TF 4F_29/2025 du 15 septembre 2025</w:t>
      </w:r>
    </w:p>
    <w:p>
      <w:r>
        <w:t>IT: TF 4F_29/2025 del 15 settembre 2025</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1.2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4F_17/2024 vom 6. Februar 2025 E. 1.2 mit Hinweis).</w:t>
      </w:r>
    </w:p>
    <w:p>
      <w:r>
        <w:rPr>
          <w:b/>
        </w:rPr>
        <w:t>E. 2</w:t>
      </w:r>
    </w:p>
    <w:p>
      <w:r>
        <w:t>Die Eingabe der Gesuchstellerin genügt diesen Begründungsanforderungen offensichtlich nicht. Sie erklärt im Wesentlichen, dass das Bundesgerichtsurteil vom 27. Mai 2025 und das diesem zugrunde liegende Rechtsöffnungsverfahren vor den Vorinstanzen erhebliche Verfahrensmängel aufweise und insbesondere verschiedene verfassungsmässige Rechte verletze. Die Gesuchstellerin beruft sich hingegen nicht auf einen Revisionsgrund nach Art. 121 - Art. 123 BGG , geschweige denn zeigt sie rechtsgenüglich auf, inwiefern ein Revisionsgrund vorliegen soll (Erwägung 1.2). Das Revisionsgesuch ist somit nicht rechtsgenügend begründet, weshalb darauf - ohne Durchführung eines Schriftenwechsels ( Art. 127 BGG ) - nicht einzutreten ist.</w:t>
      </w:r>
    </w:p>
    <w:p>
      <w:r>
        <w:rPr>
          <w:b/>
        </w:rPr>
        <w:t>E. 3</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Gesuchstellerin aufzuerlegen ( Art. 66 Abs. 1 BGG ), wobei dem geringen Aufwand durch eine reduzierte Gerichtsgebühr Rechnung getragen wird. Dem Gesuchsgegner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