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4F_21/2025 vom 9. September 2025</w:t>
      </w:r>
    </w:p>
    <w:p>
      <w:r>
        <w:t>Bundesgericht, 2025-09-09, DE</w:t>
      </w:r>
    </w:p>
    <w:p>
      <w:r>
        <w:rPr>
          <w:b/>
        </w:rPr>
        <w:t xml:space="preserve">Quelle: </w:t>
      </w:r>
      <w:r>
        <w:t>https://mcp.opencaselaw.ch/entscheid/bger_4F_21_2025</w:t>
      </w:r>
    </w:p>
    <w:p>
      <w:r>
        <w:t>FR: TF 4F_21/2025 du 9 septembre 2025</w:t>
      </w:r>
    </w:p>
    <w:p>
      <w:r>
        <w:t>IT: TF 4F_21/2025 del 9 settembre 2025</w:t>
      </w:r>
    </w:p>
    <w:p>
      <w:pPr>
        <w:pStyle w:val="Heading2"/>
      </w:pPr>
      <w:r>
        <w:t>Erwägungen</w:t>
      </w:r>
    </w:p>
    <w:p>
      <w:r>
        <w:rPr>
          <w:b/>
        </w:rPr>
        <w:t>E. 1</w:t>
      </w:r>
    </w:p>
    <w:p>
      <w:r>
        <w:t>Gegen das Urteil 4D_77/2025 vom 6. Juni 2025 kann weder Beschwerde in Zivilsachen ( Art. 75 BGG ), noch subsidiäre Verfassungsbeschwerde ( Art. 114 BGG i.V.m. Art. 75 BGG ) erhoben werden. Urteile des Bundesgerichts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 Entsprechend wird die Eingabe des Gesuchstellers als Revisionsgesuch gegen das Urteil 4D_77/2025 entgegen genommen. Auf die vom Gesuchsteller erhobene subsidiäre Verfassungsbeschwerde wird nicht eingetreten.</w:t>
      </w:r>
    </w:p>
    <w:p>
      <w:r>
        <w:rPr>
          <w:b/>
        </w:rPr>
        <w:t>E. 2</w:t>
      </w:r>
    </w:p>
    <w:p>
      <w:r>
        <w:t>Rechtsschriften müssen die Begehren und deren Begründung mit Angabe der Beweismittel enthalten ( Art. 42 Abs. 1 BGG ), ansonsten darauf nicht eingetreten werden kann ( BGE 147 III 238 E. 1.2.1).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(Urteil 4F_22/2025 vom 4. August 2025 E. 2).</w:t>
      </w:r>
    </w:p>
    <w:p>
      <w:r>
        <w:rPr>
          <w:b/>
        </w:rPr>
        <w:t>E. 3</w:t>
      </w:r>
    </w:p>
    <w:p>
      <w:r>
        <w:t>Diesen Begründungsanforderungen genügt die Eingabe des Beschwerdeführers offensichtlich nicht. Er kritisiert darin die Nidwalder Gerichte und schildert insbesondere seine Sicht der Dinge, wonach die Entscheide von Kantons- und Obergericht Nidwalden sowie "alle Folgeentscheide" nichtig seien. Der Gesuchsteller beruft sich hingegen nicht auf einen Revisionsgrund nach Art. 121 - 123 BGG , geschweige denn zeigt er rechtsgenüglich auf, inwiefern bezüglich dem Urteil des Bundesgerichts vom 6. Juni 2025 ein Revisionsgrund vorliegen soll (Erwägung 2). Das Revisionsgesuch ist somit nicht rechtsgenügend begründet, weshalb darauf - ohne Durchführung eines Schriftenwechsels ( Art. 127 BGG ) - nicht einzutreten ist.</w:t>
      </w:r>
    </w:p>
    <w:p>
      <w:r>
        <w:rPr>
          <w:b/>
        </w:rPr>
        <w:t>E. 4</w:t>
      </w:r>
    </w:p>
    <w:p>
      <w:r>
        <w:t>Das Gesuch um unentgeltliche Rechtspflege für das bundesgerichtliche Verfahren ist abzuweisen, weil das Revisionsgesuch von vornherein aussichtslos war ( Art. 64 Abs. 1 BGG ). Darüber musste unter den gegebenen Umständen nicht vorgängig separat entschieden werden (vgl. Urteil 4A_20/2011 vom 11. April 2011 E. 7.2.2).</w:t>
      </w:r>
    </w:p>
    <w:p>
      <w:r>
        <w:rPr>
          <w:b/>
        </w:rPr>
        <w:t>E. 5</w:t>
      </w:r>
    </w:p>
    <w:p>
      <w:r>
        <w:t>Bei diesem Ausgang des Verfahrens sind die Gerichtskosten dem Gesuchsteller aufzuerlegen ( Art. 66 Abs. 1 BGG ). Dem Gesuchsgegner ist keine Parteientschädigung zuzusprechen ( Art. 68 Abs. 3 BGG ), zumal ihm aus dem bundesgerichtlichen Verfahren mangels Einholens einer Vernehmlassung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