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4F_21/2024 vom 6. Dezember 2024</w:t>
      </w:r>
    </w:p>
    <w:p>
      <w:r>
        <w:t>Bundesgericht, 2024-12-06, DE</w:t>
      </w:r>
    </w:p>
    <w:p>
      <w:r>
        <w:rPr>
          <w:b/>
        </w:rPr>
        <w:t xml:space="preserve">Quelle: </w:t>
      </w:r>
      <w:r>
        <w:t>https://mcp.opencaselaw.ch/entscheid/bger_4F_21_2024</w:t>
      </w:r>
    </w:p>
    <w:p>
      <w:r>
        <w:t>FR: TF 4F_21/2024 du 6 décembre 2024</w:t>
      </w:r>
    </w:p>
    <w:p>
      <w:r>
        <w:t>IT: TF 4F_21/2024 del 6 dicembre 2024</w:t>
      </w:r>
    </w:p>
    <w:p>
      <w:pPr>
        <w:pStyle w:val="Heading2"/>
      </w:pPr>
      <w:r>
        <w:t>Erwägungen</w:t>
      </w:r>
    </w:p>
    <w:p>
      <w:r>
        <w:rPr>
          <w:b/>
        </w:rPr>
        <w:t>E. 1</w:t>
      </w:r>
    </w:p>
    <w:p>
      <w:r>
        <w:t>Mit Urteil 4A_190/2024 vom 19. April 2024 trat das Bundesgericht auf eine vom Gesuchsteller gegen den Entscheid des Obergerichts des Kantons Aargau vom 9. Februar 2024 erhobene Beschwerde im vereinfachten Verfahren nach Art. 108 Abs. 1 lit. b BGG nicht ein. Gleichzeitig wies es den Antrag des Gesuchstellers um Gewährung der unentgeltlichen Rechtspflege für das bundesgerichtliche Verfahren ab. Mit Eingabe vom 1. August 2024 (Postaufgabe am 2. August 2024) beantragt der Gesuchsteller dem Bundesgericht die Revision des Urteils 4A_190/2024 vom 19. April 2024. Gleichzeitig ersucht er darum, es sei ihm für das Revisionsverfahren die unentgeltliche Rechtspflege insoweit zu gewähren, als er von der Pflicht zur Bezahlung von Gerichtskosten befreit werde. Es wurden keine Vernehmlassungen eingeholt.</w:t>
      </w:r>
    </w:p>
    <w:p>
      <w:r>
        <w:rPr>
          <w:b/>
        </w:rPr>
        <w:t>E. 2</w:t>
      </w:r>
    </w:p>
    <w:p>
      <w:r>
        <w:t>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Der Gesuchsteller beruft sich zwar auf den Revisionsgrund nach Art. 123 Abs. 2 lit. a BGG . Er legt indessen offensichtlich nicht in einer den vorstehend dargestellten Begründungsanforderungen entsprechenden Weise hinreichend dar, weshalb dieser Revisionsgrund gegeben sein soll. Das Revisionsgesuch ist somit offensichtlich nicht rechtsgenügend begründet, weshalb darauf - ohne Durchführung eines Schriftenwechsels ( Art. 127 BGG ) - nicht einzutreten ist.</w:t>
      </w:r>
    </w:p>
    <w:p>
      <w:r>
        <w:rPr>
          <w:b/>
        </w:rPr>
        <w:t>E. 4</w:t>
      </w:r>
    </w:p>
    <w:p>
      <w:r>
        <w:t>Ausnahmsweise ist auf die Erhebung von Gerichtskosten für das bundesgerichtliche Verfahren zu verzichten (Art. 66 Abs. 1 zweiter Satz BGG), womit das Gesuch um unentgeltliche Rechtspflege gegenstandslos wird. Der Gesuchsgegnerin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