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4F_1/2022 vom 4. August 2022</w:t>
      </w:r>
    </w:p>
    <w:p>
      <w:r>
        <w:t>Bundesgericht, 2022-08-04, FR</w:t>
      </w:r>
    </w:p>
    <w:p>
      <w:r>
        <w:rPr>
          <w:b/>
        </w:rPr>
        <w:t xml:space="preserve">Quelle: </w:t>
      </w:r>
      <w:r>
        <w:t>https://mcp.opencaselaw.ch/entscheid/bger_4F_1_2022</w:t>
      </w:r>
    </w:p>
    <w:p>
      <w:r>
        <w:t>FR: TF 4F_1/2022 du 4 août 2022</w:t>
      </w:r>
    </w:p>
    <w:p>
      <w:r>
        <w:t>IT: TF 4F_1/2022 del 4 agosto 2022</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 ATF 147 III 238 consid. 1.2.1 et les arrêts cités; 144 I 214 consid. 1.2).</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 ATF 147 III 238 consid. 1.2.2 et les arrêts cités).</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w:t>
      </w:r>
    </w:p>
    <w:p>
      <w:r>
        <w:t>Par la première décision, dénommée le rescindant, il annule l'arrêt qui est l'objet de la demande de révision. Cette décision d'annulation met un terme à la procédure de révision proprement dite et entraîne la réouverture de la procédure antérieure.</w:t>
      </w:r>
    </w:p>
    <w:p>
      <w:r>
        <w:t>Par la seconde décision, appelée le rescisoire, il statue sur le recours dont il avait été précédemment saisi (cf. art. 128 al. 1 LTF ). Elle sortit un effet</w:t>
      </w:r>
    </w:p>
    <w:p>
      <w:r>
        <w:t>ex tunc , si bien que le Tribunal fédéral et les parties sont replacés dans la situation dans laquelle ils se trouvaient au moment auquel l'arrêt annulé a été rendu, la cause devant être tranchée comme si cet arrêt n'avait jamais existé ( ATF 147 III 238 consid. 1.2.3 et les arrêts cités; 144 I 214 consid. 1.2).</w:t>
      </w:r>
    </w:p>
    <w:p>
      <w:r>
        <w:rPr>
          <w:b/>
        </w:rPr>
        <w:t>E. 2</w:t>
      </w:r>
    </w:p>
    <w:p>
      <w:r>
        <w:t>En substance, le requérant invoque avoir appris le 4 novembre 2021 qu'il ressort d'une procédure pénale instruite à Genève que les organes de l'intimée auraient poussé deux de ses employés, en les menaçant de licenciement, à faire de fausses déclarations devant la justice dans le cadre des procédures opposant le coopérateur à la coopérative. Selon lui, il ressort de ce nouvel élément qu'il n'aurait pas bénéficié du travail des employés de la coopérative à des fins privées et l'arrêt du Tribunal fédéral querellé devrait être annulé. Il invoque à cet effet l' art. 123 al. 2 let. a LTF .</w:t>
      </w:r>
    </w:p>
    <w:p>
      <w:r>
        <w:rPr>
          <w:b/>
        </w:rPr>
        <w:t>E. 2.1</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w:t>
      </w:r>
    </w:p>
    <w:p>
      <w:r>
        <w:t>Pour qu'un fait soit pertinent au sens de cette disposition, il doit être de nature à modifier l'état de fait qui est à la base du jugement et à conduire à un jugement différent en fonction d'une appréciation juridique correcte. Quant aux moyens de preuve, ils sont concluants lorsqu'ils sont propres à entraîner une modification du jugement dans un sens favorable au requérant ( ATF 147 III 238 consid. 4.1 et 4.2; 143 III 272 consid. 2.2).</w:t>
      </w:r>
    </w:p>
    <w:p>
      <w:r>
        <w:rPr>
          <w:b/>
        </w:rPr>
        <w:t>E. 2.2</w:t>
      </w:r>
    </w:p>
    <w:p>
      <w:r>
        <w:t>Il ressort de l'arrêt entrepris que la cour cantonale a admis trois motifs d'exclusion du coopérateur, soit notamment (1) le fait que le coopérateur avait acquis, pour le compte de la coopérative, des moteurs de stores au prix de 25 ou de 50 EUR/pièce qu'il a ensuite facturés à la coopérative à 486 fr./pièce, sans qu'il ne puisse démontrer avoir entrepris un travail justifiant une plus-value de plus de 400 fr., et (2) le fait qu'il avait bénéficié gratuitement des services de certains employés de la coopérative. Le Tribunal fédéral n'a examiné que le premier de ces motifs, qu'il a jugé être à lui seul de nature à rompre le lien de confiance entre les parties.</w:t>
      </w:r>
    </w:p>
    <w:p>
      <w:r>
        <w:t>Or, les fausses déclarations invoquées par le requérant ne viendraient contredire que le deuxième motif d'exclusion retenu par la cour cantonale. Dans la mesure où lesdites déclarations concernent un motif qu'il n'a pas été nécessaire d'examiner dans l'arrêt entrepris, elles ne sauraient conduire à un jugement différent et ne sont donc ni pertinentes ni concluantes.</w:t>
      </w:r>
    </w:p>
    <w:p>
      <w:r>
        <w:t>Les conditions de l' art. 123 al. 2 let. a LTF ne sont donc pas remplies.</w:t>
      </w:r>
    </w:p>
    <w:p>
      <w:r>
        <w:rPr>
          <w:b/>
        </w:rPr>
        <w:t>E. 3</w:t>
      </w:r>
    </w:p>
    <w:p>
      <w:r>
        <w:t>Au vu de ce qui précède, la demande de révision doit être rejetée.</w:t>
      </w:r>
    </w:p>
    <w:p>
      <w:r>
        <w:t>Les frais judiciaires seront mis à la charge du requérant, qui succombe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