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 16/2012 vom 15. Oktober 2012</w:t>
      </w:r>
    </w:p>
    <w:p>
      <w:r>
        <w:t>Bundesgericht, 2012-10-15, FR</w:t>
      </w:r>
    </w:p>
    <w:p>
      <w:r>
        <w:rPr>
          <w:b/>
        </w:rPr>
        <w:t xml:space="preserve">Quelle: </w:t>
      </w:r>
      <w:r>
        <w:t>https://mcp.opencaselaw.ch/entscheid/bger_4F_16_2012</w:t>
      </w:r>
    </w:p>
    <w:p>
      <w:r>
        <w:t>FR: TF 4F 16/2012 du 15 octobre 2012</w:t>
      </w:r>
    </w:p>
    <w:p>
      <w:r>
        <w:t>IT: TF 4F 16/2012 del 15 ottobre 2012</w:t>
      </w:r>
    </w:p>
    <w:p>
      <w:pPr>
        <w:pStyle w:val="Heading2"/>
      </w:pPr>
      <w:r>
        <w:t>Regeste</w:t>
      </w:r>
    </w:p>
    <w:p>
      <w:r>
        <w:t>contrat d'entreprise; révision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arrêt du 13 septembre 2012 (cause 4F_8/2012), la Ire Cour de droit civil a déclaré irrecevable la demande déposée par X.________ en vue d'obtenir la révision de l'arrêt du 21 février 2012 (cause 4F_22/2011) par lequel la même Cour avait déclaré irrecevable la demande de la prénommée tendant à la révision de l'arrêt fédéral rendu le 20 juin 2011 dans la cause l'opposant à Y.________ SA (cause 4A_85/2011).</w:t>
      </w:r>
    </w:p>
    <w:p>
      <w:r>
        <w:rPr>
          <w:b/>
        </w:rPr>
        <w:t>E. 1.2</w:t>
      </w:r>
    </w:p>
    <w:p>
      <w:r>
        <w:t>Le 9 octobre 2012, X.________ (ci-après: la requérante) a adressé au Tribunal fédéral une lettre, accompagnée de pièces, dans laquelle elle sollicitait la révision de l'arrêt du 13 septembre 2012. Elle a également requis l'octroi de l'effet suspensif à sa demande de révision et sa mise au bénéfice de l'assistance judiciaire gratuite. Y.________ SA n'a pas été invitée à se déterminer sur la demande de révision.</w:t>
      </w:r>
    </w:p>
    <w:p>
      <w:r>
        <w:rPr>
          <w:b/>
        </w:rPr>
        <w:t>E. 2</w:t>
      </w:r>
    </w:p>
    <w:p>
      <w:r>
        <w:t>Ladite demande ne satisfait en rien aux exigences de motivation résultant de l' art. 42 LTF et des art. 121 ss LTF . On y cherche en vain l'énoncé d'un quelconque motif de révision au sens des art. 121 et 123 LTF . Aussi n'y a-t-il pas lieu de procéder à un échange d'écritures ( art. 127 LTF ).</w:t>
      </w:r>
    </w:p>
    <w:p>
      <w:r>
        <w:rPr>
          <w:b/>
        </w:rPr>
        <w:t>E. 3</w:t>
      </w:r>
    </w:p>
    <w:p>
      <w:r>
        <w:t>Vu l'irrecevabilité manifeste de sa demande de révision, la requérante ne saurait être mise au bénéfice de l'assistance judiciaire gratuite pour la présente procédure (cf. art. 64 al. 1 LTF ). En vertu de l' art. 66 al. 1 LTF , elle devra, dès lors, supporter les frais judiciaires y afférents. N'ayant pas été invitée à se déterminer sur la demande de révision, l'intimée n'a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