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4F_16/2010 vom 16. November 2010</w:t>
      </w:r>
    </w:p>
    <w:p>
      <w:r>
        <w:t>Bundesgericht, 2010-11-16, FR</w:t>
      </w:r>
    </w:p>
    <w:p>
      <w:r>
        <w:rPr>
          <w:b/>
        </w:rPr>
        <w:t xml:space="preserve">Quelle: </w:t>
      </w:r>
      <w:r>
        <w:t>https://mcp.opencaselaw.ch/entscheid/bger_4F_16_2010</w:t>
      </w:r>
    </w:p>
    <w:p>
      <w:r>
        <w:t>FR: TF 4F_16/2010 du 16 novembre 2010</w:t>
      </w:r>
    </w:p>
    <w:p>
      <w:r>
        <w:t>IT: TF 4F_16/2010 del 16 novembre 2010</w:t>
      </w:r>
    </w:p>
    <w:p>
      <w:pPr>
        <w:pStyle w:val="Heading2"/>
      </w:pPr>
      <w:r>
        <w:t>Erwägungen</w:t>
      </w:r>
    </w:p>
    <w:p>
      <w:r>
        <w:rPr>
          <w:b/>
        </w:rPr>
        <w:t>E. 1</w:t>
      </w:r>
    </w:p>
    <w:p>
      <w:r>
        <w:t>Déposée en temps utile ( art. 124 al. 1 let . d LTF) et dûment motivée, la demande de révision est recevable. Elle ne vise pas, à proprement parler, l'arrêt d'irrecevabilité prononcé par la Présidente, pour cause de dépôt tardif du recours en matière civile (consid. 2 de l'arrêt du 5 octobre 2010), mais la déclaration d'irrecevabilité de la demande de restitution du délai dans lequel ce recours aurait dû être interjeté (consid. 3, précité, du même arrêt). Seule cette déclaration fera donc l'objet du présent examen à la lumière du motif de révision invoqué par le requérant.</w:t>
      </w:r>
    </w:p>
    <w:p>
      <w:r>
        <w:rPr>
          <w:b/>
        </w:rPr>
        <w:t>E. 2</w:t>
      </w:r>
    </w:p>
    <w:p>
      <w:r>
        <w:t>A l'appui de sa demande de révision, le requérant expose, en fait, que Me ..., son mandataire, avait commencé à rédiger le recours le 10 septembre 2010, en le datant du 13 du même mois, date à laquelle il pensait l'envoyer au Tribunal fédéral. Cependant, le week-end des 11 et 12 septembre 2010, cet avocat avait souffert de coliques néphrétiques provoquées par des calculs rénaux, épisodes douloureux qu'il subit périodiquement. Le 13 septembre 2010, éprouvant des douleurs intenses, Me ... n'avait pas pu terminer la rédaction du recours, espérant pouvoir le faire le lendemain, et avait alors contacté le Dr B.________, son médecin traitant, pour l'informer de son état. Mais les douleurs avaient persisté, le 14 septembre 2010, empêchant l'avocat d'achever son travail. Aussi, le même jour, Me ... avait-il fait appel à SOS Médecins qui avait envoyé le Dr A.________ au domicile de l'avocat. C'est là que ce médecin avait établi le certificat attestant une incapacité de travail pour les 14 et 15 septembre 2010. A cette dernière date, les douleurs avaient diminué, ce qui avait amené l'avocat, bien qu'étant toujours en incapacité de travailler, par conscience professionnelle, à terminer le recours et à l'expédier au Tribunal fédéral. Me ... n'avait pas jugé utile de changer la date du 13 septembre 2010 apposée sur l'acte de recours, puisque seule la date d'expédition est déterminante. Diminué, il n'avait pas pu développer les circonstances de sa maladie douloureuse et de son impossibilité de terminer la rédaction du recours avant l'échéance du délai de recours. Le 1er octobre, il avait reçu du Dr B.________ un certificat faisant état d'une incapacité de travail du 11 au 15 septembre 2010 en raison d'une affection médicale aiguë (passage d'une lithiase urinaire). Enfin, le 11 octobre 2010, il avait pris connaissance de l'arrêt fédéral formant l'objet de la présente demande de révision.</w:t>
      </w:r>
    </w:p>
    <w:p>
      <w:r>
        <w:t>Pour étayer ses dires, le requérant a produit, outre l'accusé de réception dudit arrêt, un certificat médical standard établi le 1er octobre 2010 par le Dr B.________, ainsi qu'un autre certificat rédigé à la même date par le même médecin, dont le texte est le suivant:</w:t>
      </w:r>
    </w:p>
    <w:p>
      <w:r>
        <w:t>"Je soussigné, certifie avoir ordonné au patient susmentionné un arrêt de travail à 100%, du 11 au 15 septembre 2010 inclus, pour une affection médicale aiguë (passage d'une lithiase urinaire)."</w:t>
      </w:r>
    </w:p>
    <w:p>
      <w:r>
        <w:t>En droit, le requérant fait valoir que la maladie imprévisible de son mandataire - des coliques néphrétiques (calculs rénaux), qui sont notoirement douloureuses et empêchent objectivement de travailler - a empêché celui-ci de rédiger et de déposer à temps le recours en matière civile, alors qu'il était déjà trop tard pour mandater un autre avocat et que lui-même n'était pas en mesure d'effectuer seul un tel travail. Il ajoute que le certificat médical du Dr B.________, qui constitue un moyen de preuve concluant, au sens de l' art. 123 al. 2 let. a LTF , n'a pu être joint à la requête de restitution de délai du 15 septembre 2010, car il n'a pu être établi que le 1er octobre 2010. Pour terminer, le requérant souligne que ce serait faire preuve d'un formalisme excessif et disproportionné que de le priver d'un degré de juridiction du simple fait que le délai de recours a été dépassé d'un jour pour une raison indépendante de sa volonté.</w:t>
      </w:r>
    </w:p>
    <w:p>
      <w:r>
        <w:rPr>
          <w:b/>
        </w:rPr>
        <w:t>E. 3.1</w:t>
      </w:r>
    </w:p>
    <w:p>
      <w:r>
        <w:t>En vertu de l' art. 123 al. 2 let. a LTF , la révision peut être demandée, notamment, si le requérant découvre après coup des moyens de preuve concluants qu'il n'avait pas pu invoquer dans la procédure précédente, à l'exclusion des moyens de preuve postérieurs à l'arrêt.</w:t>
      </w:r>
    </w:p>
    <w:p>
      <w:r>
        <w:t>La disposition reprend les règles contenues à l' art. 137 OJ . Selon la jurisprudence rendue au sujet de cette disposition, les preuves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procédure précédente.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 ATF 127 V 353 consid. 5b p. 358 et les arrêts cités).</w:t>
      </w:r>
    </w:p>
    <w:p>
      <w:r>
        <w:t>En revanche, la voie de la révision ne permet pas de rediscuter l'argumentation juridique contenue dans l'arrêt dont la révision est demandée (arrêt 4F_7/2007 du 28 septembre 2007 consid. 3).</w:t>
      </w:r>
    </w:p>
    <w:p>
      <w:r>
        <w:rPr>
          <w:b/>
        </w:rPr>
        <w:t>E. 3.2</w:t>
      </w:r>
    </w:p>
    <w:p>
      <w:r>
        <w:t>Appliqués au cas particulier, ces principes jurisprudentiels ne permettent pas d'admettre la demande de révision.</w:t>
      </w:r>
    </w:p>
    <w:p>
      <w:r>
        <w:t>Dans son arrêt du 5 octobre 2010, la Présidente n'a pas rejeté la demande de restitution de délai présentée par le recourant, mais elle a déclaré cette demande irrecevable parce que son auteur ne l'avait pas suffisamment motivée, s'agissant tant des faits allégués à son appui que du moyen de preuve censé établir ces faits. Or, la procédure de révision ne constitue pas un moyen de réparer le défaut de motivation d'une requête antérieure, à moins que ce vice ne puisse être imputé à faute à l'auteur de celle-ci. Tel n'est pas le cas en l'espèce. On ne voit pas, en effet, que le requérant ait été empêché de révéler d'emblée la nature de l'affection dont souffrait son mandataire et de préciser, au moins brièvement, en quoi elle empêchait absolument celui-ci de terminer la rédaction du recours et de remettre ou faire remettre le mémoire à un bureau de poste. A cet égard, le conseil du requérant n'est pas crédible lorsqu'il soutient que, ses douleurs ayant diminué, il avait pu terminer la rédaction du recours, l'après-midi du 15 septembre 2010, mais sans pouvoir toutefois "développer les circonstances de sa maladie douloureuse" (demande de révision, n. 13). Aussi bien, l'intéressé avait fait état de ses ennuis de santé dans sa lettre d'accompagnement du 15 septembre 2010 et il ne tenait qu'à lui d'en signaler la nature en quelques lignes.</w:t>
      </w:r>
    </w:p>
    <w:p>
      <w:r>
        <w:t>De même, la demande de restitution de délai était muette sur le fait que Me ... avait pris contact, le 13 septembre 2010, avec son médecin traitant, le Dr B.________, et elle ne réservait pas non plus le dépôt ultérieur d'un certificat de ce praticien, qui viendrait préciser la nature des maux dont l'avocat avait souffert depuis le 11 septembre 2010. Il est également curieux que ce dernier n'ait pas adressé spontanément au Tribunal fédéral une copie de ce certificat, daté du 1er octobre 2010, avant de recevoir l'arrêt présidentiel, le 11 du même mois.</w:t>
      </w:r>
    </w:p>
    <w:p>
      <w:r>
        <w:t>Au demeurant, à s'en tenir à la relation chronologique des événements proposée par le requérant (demande de révision, n. 4 à 6), son mandataire aurait informé le Dr B.________ de son affection le lundi 13 septembre 2010. Si tel est le cas, il peut paraître surprenant que ce médecin ait pu confirmer, dans le certificat précité du 1er octobre 2010, qu'il avait "ordonné" au patient un arrêt de travail à 100% à partir du 11 septembre 2010 déjà.</w:t>
      </w:r>
    </w:p>
    <w:p>
      <w:r>
        <w:t>La force probante des deux certificats médicaux produits est du reste pour le moins sujette à caution dans la mesure où l'auteur de ceux-ci y procède à des confirmations rétroactives sur l'état d'un patient qui ne l'avait pas consulté à l'époque, mais simplement contacté pour l'informer de son état (demande de révision, n. 6). On ne saurait donc y voir des moyens de preuve concluants, au sens de l' art. 123 al. 2 let. a LTF , tel qu'interprété par la jurisprudence susmentionnée.</w:t>
      </w:r>
    </w:p>
    <w:p>
      <w:r>
        <w:rPr>
          <w:b/>
        </w:rPr>
        <w:t>E. 4</w:t>
      </w:r>
    </w:p>
    <w:p>
      <w:r>
        <w:t>La demande de révision doit ainsi être rejetée. Il en va de même de la demande d'assistance judiciaire dont elle était assortie ( art. 64 al. 1 LTF ). Toutefois, étant donné les circonstances, il sera renoncé à la perception de frais judiciaires (art. 66 al. 1 in fine LTF). L'intimée, qui n'a pas été invitée à se déterminer sur la demande de révision,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