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4F_15/2008 vom 20. November 2013</w:t>
      </w:r>
    </w:p>
    <w:p>
      <w:r>
        <w:t>Bundesgericht, 2013-11-20, FR</w:t>
      </w:r>
    </w:p>
    <w:p>
      <w:r>
        <w:rPr>
          <w:b/>
        </w:rPr>
        <w:t xml:space="preserve">Quelle: </w:t>
      </w:r>
      <w:r>
        <w:t>https://mcp.opencaselaw.ch/entscheid/bger_4F_15_2008</w:t>
      </w:r>
    </w:p>
    <w:p>
      <w:r>
        <w:t>FR: TF 4F_15/2008 du 20 novembre 2013</w:t>
      </w:r>
    </w:p>
    <w:p>
      <w:r>
        <w:t>IT: TF 4F_15/2008 del 20 novembre 2013</w:t>
      </w:r>
    </w:p>
    <w:p>
      <w:pPr>
        <w:pStyle w:val="Heading2"/>
      </w:pPr>
      <w:r>
        <w:t>Erwägungen</w:t>
      </w:r>
    </w:p>
    <w:p>
      <w:r>
        <w:rPr>
          <w:b/>
        </w:rPr>
        <w:t>E. 1.1</w:t>
      </w:r>
    </w:p>
    <w:p>
      <w:r>
        <w:t>La révision d'un arrêt du Tribunal fédéral peut être demandée lorsqu'une procédure pénale établit que l'arrêt a été influencé au préjudice du requérant par un crime ou un délit, même si aucune condamnation n'est intervenue (art. 123 al. 1, 1ère phrase, LTF). Fondée sur ce motif, elle doit être déposée dans les 90 jours qui suivent la découverte de celui-ci ( art. 124 al. 1 let . d LTF). Le délai court dès que le requérant a connaissance de la condamnation passée en force ou, si cette dernière n'est plus possible, dès qu'il apprend l'existence de l'infraction et les preuves de celle-ci (arrêt 4A_666/2012 du 3 juin 2013 consid. 5.1 et le précédent cité).</w:t>
      </w:r>
    </w:p>
    <w:p>
      <w:r>
        <w:t>Au demeurant, la recevabilité de la demande de révision est subordonnée à l'existence d'un intérêt juridique digne de protection. Le requérant doit avoir un intérêt particulier et actuel à la modification de la décision formant l'objet de la demande de révision (arrêt 4A_596/2008 du 6 octobre 2009 consid. 3.5 et les références).</w:t>
      </w:r>
    </w:p>
    <w:p>
      <w:r>
        <w:rPr>
          <w:b/>
        </w:rPr>
        <w:t>E. 1.2</w:t>
      </w:r>
    </w:p>
    <w:p>
      <w:r>
        <w:t>En l'espèce, le conseil des requérants a demandé, les 12 juin et 9 juillet 2013, et obtenu, le 10 juillet 2013, la délivrance d'un "certificat de non-appel", dans lequel le greffe du Tribunal pénal attestait le caractère définitif et exécutoire de la décision du Tribunal de police du 23 mai 2013 constatant que l'ordonnance pénale du 8 février 2011 devait être assimilée à un jugement entré en force. Il a déposé le 19 juillet 2013, soit moins de 90 jours après avoir reçu cette information, son écriture intitulée "Demande de reprise de la procédure", en y invoquant pour la première fois le motif de révision prévu à l' art. 123 al. 1 LTF . La demande de révision fondée sur ce motif a ainsi été formée en temps utile.</w:t>
      </w:r>
    </w:p>
    <w:p>
      <w:r>
        <w:t>Quand bien même X.________ a consenti à évacuer les appartements litigieux postérieurement à la notification de l'arrêt du Tribunal fédéral dont la révision est requise, l'intérêt des requérants à obtenir la révision de cet arrêt doit être admis, ne serait-ce que parce que celui-ci a mis à leur charge les frais et dépens de la procédure fédérale dans la cause 4A_38/2007. Du reste, il n'est pas impossible que l'admission de la demande de révision puisse avoir des incidences sur le fond dès lors qu'elle entraînerait l'annulation d'un arrêt ayant mis à néant la décision cantonale attaquée en raison de l'inefficacité du congé donné au locataire pour le 30 juin 2003, ce qui aurait pour conséquence que cette dernière date marquerait la fin de la relation contractuelle en cause, ladite décision étant désormais définitive, alors que, sinon, cette relation se serait poursuivie jusqu'au 30 septembre 2008, date à laquelle les parties y ont mis fin d'un commun accord d'après les pièces produites par les requérants.</w:t>
      </w:r>
    </w:p>
    <w:p>
      <w:r>
        <w:t>Il y a lieu, partant, d'entrer en matière.</w:t>
      </w:r>
    </w:p>
    <w:p>
      <w:r>
        <w:rPr>
          <w:b/>
        </w:rPr>
        <w:t>E. 2.1</w:t>
      </w:r>
    </w:p>
    <w:p>
      <w:r>
        <w:t>La révision, au sens de l' art. 123 al. 1 LTF , suppose l'existence d'un crime ou d'un délit prévu par le code pénal, à l'exclusion d'une contravention ( art. 103 CP ) ou d'une infraction relevant du droit pénal cantonal. Les crimes et les délits sont définis à l' 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w:t>
      </w:r>
    </w:p>
    <w:p>
      <w:r>
        <w:t>Il importe peu que l'infraction pénale ait été commise par une partie ou par un tiers. L'élément essentiel est qu'il existe un rapport de causalité entre le crime ou le délit commis et le dispositif de l'arrêt dont la révision est requise. Autrement dit, l'infraction doit avoir exercé une influence effective, directe ou indirecte, sur l'arrêt en cause au préjudice du requérant (arrêt 4A_596/2008, précité, consid. 4.1 et les références). Pour le surplus, la procédure pénale doit avoir été conduite jusqu'à son terme (arrêt 4A_234/2008 du 14 août 2008 consid. 3.1 et les références). Demeure réservée l'hypothèse où l'action pénale n'est pas possible ( art. 123 al. 1, seconde phrase, LTF ).</w:t>
      </w:r>
    </w:p>
    <w:p>
      <w:r>
        <w:rPr>
          <w:b/>
        </w:rPr>
        <w:t>E. 2.2</w:t>
      </w:r>
    </w:p>
    <w:p>
      <w:r>
        <w:t>Dans le cas présent, toutes les conditions d'application de l' art. 123 al. 1 LTF sont réalisées. L'intimé à la demande de révision est d'ailleurs le premier à en convenir, qui a acquiescé expressément à cette demande. En effet, la procédure pénale ouverte sur plainte des requérants a abouti au prononcé d'un jugement pénal définitif constatant l'existence d'un crime, au sens de l' art. 10 al. 2 CP , qui revêtait la forme d'un faux dans les titres ( art. 251 ch. 1 CP ). Ce crime a exercé une influence directe sur le dispositif de l'arrêt dont la révision est requise puisqu'il a amené le Tribunal fédéral à statuer sur le recours qui lui était soumis, sur le vu d'une procuration falsifiée produite par le soi-disant mandataire du recourant, alors que ce dernier n'avait jamais eu l'intention de saisir la juridiction fédérale puisqu'il ignorait tout des tenants et aboutissants de cette affaire.</w:t>
      </w:r>
    </w:p>
    <w:p>
      <w:r>
        <w:t>Sur le rescindant, force est, dès lors, d'annuler l'arrêt rendu le 7 août 2007 par la Ire Cour de droit civil dans la cause 4A_38/2007.</w:t>
      </w:r>
    </w:p>
    <w:p>
      <w:r>
        <w:rPr>
          <w:b/>
        </w:rPr>
        <w:t>E. 2.3</w:t>
      </w:r>
    </w:p>
    <w:p>
      <w:r>
        <w:t>Dans la phase du rescisoire, le Tribunal fédéral doit statuer à nouveau, comme l'y invite l' art. 128 al. 1 LTF . Il lui appartient donc de rendre un nouvel arrêt tant sur le fond que sur les frais et dépens de la procédure relative à la cause précitée.</w:t>
      </w:r>
    </w:p>
    <w:p>
      <w:r>
        <w:rPr>
          <w:b/>
        </w:rPr>
        <w:t>E. 2.3.1</w:t>
      </w:r>
    </w:p>
    <w:p>
      <w:r>
        <w:t>Les mandataires doivent justifier de leurs pouvoirs par une procuration ( art. 40 al. 2 LTF ). Si la procuration fait défaut, ou si le mandataire n'est pas autorisé, le Tribunal fédéral impartit un délai approprié à la partie pour remédier à l'irrégularité et l'avertit qu'à défaut le mémoire ne sera pas pris en considération ( art. 42 al. 5 LTF ). Le recours déposé par le mandataire sans pouvoirs est déclaré irrecevable (cf. JEAN-FRANÇOIS POUDRET, Commentaire de la loi fédérale d'organisation judiciaire, vol. I, 1990, n° 2.5 ad art. 29 OJ , p. 160; voir aussi: FLORENCE AUBRY GIRARDIN, in Commentaire de la LTF, 2009, n° 21 ad art. 40 LTF ).</w:t>
      </w:r>
    </w:p>
    <w:p>
      <w:r>
        <w:t>En l'espèce, si la Ire Cour de droit civil s'était rendu compte que la procuration produite avec le mémoire de recours constituait un faux, elle ne serait pas entrée en matière sur le recours qui lui était soumis. Concrètement, le président de la Cour, qui dirigeait la procédure au titre de juge instructeur ( art. 32 al. 1 LTF ), serait intervenu sur-le-champ et aurait interpellé la partie recourante afin d'éclaircir la question de sa représentation. Le pot aux roses eût alors été découvert et une décision de non-entrée en matière aurait sans doute été prise selon la procédure simplifiée ( art. 108 al. 1 let. a LTF ; cf. LAURENT MERZ, in Commentaire bâlois, Bundesgerichtsgesetz, 2e éd. 2011, n° 43 ad art. 40 LTF ). Aujourd'hui, cette manière de procéder n'est plus d'actualité, puisqu'il est établi que X.________ n'entendait pas recourir. Par conséquent, la seule solution envisageable dans la phase du rescisoire consiste à déclarer irrecevable le recours qui avait été formé à son insu.</w:t>
      </w:r>
    </w:p>
    <w:p>
      <w:r>
        <w:t>Cette solution est diamétralement opposée à celle qui a été retenue dans l'arrêt formant l'objet de la demande de révision, puisque la Ire Cour de droit civil avait admis le recours, annulé la décision attaquée et rejeté la demande tendant à l'évacuation de X.________ des locaux litigieux. La déclaration d'irrecevabilité du recours rendra caduques,</w:t>
      </w:r>
    </w:p>
    <w:p>
      <w:r>
        <w:t>ipso jure , les précédentes décisions relatives à l'admission du recours et aux modifications de l'arrêt attaqué (ch. 1 à 4 du dispositif de l'arrêt du 7 août 2007). Elle interdira de procéder à une répartition différente des frais de la procédure antérieure, comme cela avait été fait sous chiffre 4 du dispositif de l'arrêt en question, dès lors que la Cour de céans ne modifiera pas l'arrêt rendu le 5 février 2007 par la Chambre d'appel en matière de baux et loyers du canton de Genève ( art. 67 LTF a contrario). En revanche, elle impose une refonte complète des décisions touchant les frais et dépens de la procédure fédérale.</w:t>
      </w:r>
    </w:p>
    <w:p>
      <w:r>
        <w:rPr>
          <w:b/>
        </w:rPr>
        <w:t>E. 2.3.2</w:t>
      </w:r>
    </w:p>
    <w:p>
      <w:r>
        <w:t>En règle générale, la partie qui succombe doit payer les frais judiciaires. Toutefois, si les circonstances le justifient, le Tribunal fédéral peut répartir ceux-ci autrement ou renoncer à les mettre à la charge des parties ( art. 66 al. 1 LTF ). Exceptionnellement, les frais judiciaires peuvent être mis à la charge de tiers; si l'on objecte que cette pratique ne paraît pas conforme au texte légal, il est possible de répondre en invoquant l' art. 66 al. 3 LTF ( BERNARD CORBOZ, in Commentaire de la LTF, 2009, n° 17 ad art. 66 LTF ). Selon cette disposition, les frais causés inutilement sont supportés par celui qui les a engendrés ( art. 66 al. 3 LTF ). Ainsi, celui qui a agi faussement au nom d'autrui sera condamné personnellement aux frais judiciaires. Dans ce cas de figure, celui qui apparaît formellement comme recourant n'a, en réalité, pas voulu saisir le Tribunal fédéral; il se justifie, dès lors, de condamner aux frais celui qui a agi indûment au nom d'autrui ( CORBOZ, op. cit., n° 18 ad art. 66 LTF ).</w:t>
      </w:r>
    </w:p>
    <w:p>
      <w:r>
        <w:t>En ce qui concerne les dépens, le Tribunal fédéral décide si et, le cas échéant, dans quelle mesure les frais de la partie obtenant gain de cause sont supportés par celle qui succombe ( art. 68 al. 1 LTF ). L' art. 66 al. 3 LTF est applicable par analogie ( art. 68 al. 4 LTF ). Cette règle spéciale permet aussi de mettre les dépens à la charge d'un tiers, en particulier de condamner aux dépens la personne qui a agi indûment au nom d'autrui ( CORBOZ, op. cit., n° 44 ad art. 68 LTF ).</w:t>
      </w:r>
    </w:p>
    <w:p>
      <w:r>
        <w:rPr>
          <w:b/>
        </w:rPr>
        <w:t>E. 2.3.3</w:t>
      </w:r>
    </w:p>
    <w:p>
      <w:r>
        <w:t>La constatation de l'irrecevabilité du recours impliquerait, en principe, que l'auteur de celui-ci supporte les frais et dépens de la procédure fédérale. Cependant, il convient de déroger à la règle générale</w:t>
      </w:r>
    </w:p>
    <w:p>
      <w:r>
        <w:t>in casu . Il est, en effet, établi que X.________ n'a jamais entendu recourir au Tribunal fédéral et que le soi-disant mandataire a agi à son insu en déposant le mémoire de recours daté du 12 mars 2007. En conséquence, l'intéressé sera libéré de la charge des frais et dépens afférents à la cause 4A_38/2007.</w:t>
      </w:r>
    </w:p>
    <w:p>
      <w:r>
        <w:t>Me Albert Graf apparaît objectivement comme un</w:t>
      </w:r>
    </w:p>
    <w:p>
      <w:r>
        <w:t>falsus procurator . A ce titre, il pourrait être condamné au paiement de ces frais et dépens (arrêt 4C.392/2006 du 27 février 2007 consid. 6 et les références; Merz, ibid., qui renvoie à l' art. 71 LTF en liaison avec l'art. 18 al. 3, seconde phrase, de la loi fédérale de procédure civile fédérale [RS 273]). Il n'est cependant pas avéré qu'il ait su que la procuration datée du 27 janvier 2006 constituait un faux. Du reste, la justice pénale, qui l'a entendu en qualité de témoin, n'a, semble-t-il, pas retenu d'infraction à sa charge. Par conséquent, la solution envisagée n'entre pas non plus en ligne de compte.</w:t>
      </w:r>
    </w:p>
    <w:p>
      <w:r>
        <w:t>En dérogation à la règle générale, les frais et dépens peuvent aussi être mis à la charge de la partie qui obtient gain de cause, voire à celle du tiers qui a agi indûment au nom d'autrui (cf. Corboz, op. cit., nos 41 ad art. 66 LTF et 23 ad art. 68 LTF ). En l'occurrence, les intimés au recours, c'est-à-dire SA Y.________ en liquidation et Z.________, aux noms de qui la réponse du 11 juin 2007 a été déposée, ont conclu avec succès à l'irrecevabilité du recours. Il n'y a aucun motif de mettre les frais de la procédure à la charge de SA Y.________ en liquidation ni de priver la masse en faillite de cette société du droit aux dépens pour la couverture de ses frais d'avocat. C'est l'inverse qui est vrai, s'agissant de Z.________: en confectionnant une fausse procuration au nom de X.________, puis en la remettant à Me Albert Graf, dans le but de tirer personnellement profit de cette infraction - selon les termes figurant dans la susdite ordonnance, les motivations de l'intéressé relèvent de "l'appât du gain" -, cet intimé a posé un acte sans lequel la procédure dans la cause 4A_38/2007 n'aurait jamais été ouverte. Par conséquent, en dépit du fait qu'il obtient formellement gain de cause dans cette procédure, les frais de celle-ci, inutiles dans leur totalité, seront mis à sa charge en vertu de l' art. 66 al. 3 LTF , et c'est encore lui qui devra verser des dépens à SA Y.________ en liquidation ( art. 68 al. 4 LTF ).</w:t>
      </w:r>
    </w:p>
    <w:p>
      <w:r>
        <w:t>Pour le surplus, dès lors que la Cour de céans doit se remettre dans la position où elle se trouvait avant de statuer sur le recours de X.________, il ne lui appartient pas de se prononcer ici sur les incidences concrètes en matière de frais et dépens résultant de l'annulation des chiffres 5 à 8 de l'arrêt du 7 août 2007.</w:t>
      </w:r>
    </w:p>
    <w:p>
      <w:r>
        <w:rPr>
          <w:b/>
        </w:rPr>
        <w:t>E. 3</w:t>
      </w:r>
    </w:p>
    <w:p>
      <w:r>
        <w:t>Il reste à régler le sort des frais et dépens de la procédure de révision. Pour les mêmes motifs que ceux qui ont été retenus lorsqu'il s'est agi de fixer les frais et dépens afférents au nouvel arrêt relatif à la cause 4A_37/2008, Z.________ devra en assumer la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