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14/2013 vom 24. Oktober 2013</w:t>
      </w:r>
    </w:p>
    <w:p>
      <w:r>
        <w:t>Bundesgericht, 2013-10-24, FR</w:t>
      </w:r>
    </w:p>
    <w:p>
      <w:r>
        <w:rPr>
          <w:b/>
        </w:rPr>
        <w:t xml:space="preserve">Quelle: </w:t>
      </w:r>
      <w:r>
        <w:t>https://mcp.opencaselaw.ch/entscheid/bger_4F_14_2013</w:t>
      </w:r>
    </w:p>
    <w:p>
      <w:r>
        <w:t>FR: TF 4F 14/2013 du 24 octobre 2013</w:t>
      </w:r>
    </w:p>
    <w:p>
      <w:r>
        <w:t>IT: TF 4F 14/2013 del 24 ottobre 2013</w:t>
      </w:r>
    </w:p>
    <w:p>
      <w:pPr>
        <w:pStyle w:val="Heading2"/>
      </w:pPr>
      <w:r>
        <w:t>Regeste</w:t>
      </w:r>
    </w:p>
    <w:p>
      <w:r>
        <w:t>frais et dépens de la procédure cantonale; recitfication d'un arrêt du Tribunal fédéral | Droit des contrats</w:t>
      </w:r>
    </w:p>
    <w:p>
      <w:pPr>
        <w:pStyle w:val="Heading2"/>
      </w:pPr>
      <w:r>
        <w:t>Erwägungen</w:t>
      </w:r>
    </w:p>
    <w:p>
      <w:r>
        <w:rPr>
          <w:b/>
        </w:rPr>
        <w:t>E. 1.1</w:t>
      </w:r>
    </w:p>
    <w:p>
      <w:r>
        <w:t>L'écriture déposée par le requérant est signée par un mandataire autorisé au sens de l' art. 40 al. 1 LTF .</w:t>
      </w:r>
    </w:p>
    <w:p>
      <w:r>
        <w:rPr>
          <w:b/>
        </w:rPr>
        <w:t>E. 1.2</w:t>
      </w:r>
    </w:p>
    <w:p>
      <w:r>
        <w:t>Même si elle est intitulée "révision", la requête doit être comprise comme une demande de rectification au sens de l' art. 129 al. 1 LTF , disposition à laquelle, du reste, le requérant se réfère. La demande de rectification n'est soumise à aucun délai; la seule limitation, résultant de l' art. 129 al. 2 LTF , n'entre pas en ligne de compte en l'espèce.</w:t>
      </w:r>
    </w:p>
    <w:p>
      <w:r>
        <w:rPr>
          <w:b/>
        </w:rPr>
        <w:t>E. 2</w:t>
      </w:r>
    </w:p>
    <w:p>
      <w:r>
        <w:t>Conformément à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2.1</w:t>
      </w:r>
    </w:p>
    <w:p>
      <w:r>
        <w:t>Lorsque le Tribunal fédéral, saisi d'un recours, modifie la décision attaquée, il peut répartir autrement les frais de la procédure antérieure ( art. 67 LTF ). Il s'agit là d'une faculté, le Tribunal fédéral pouvant également choisir de renvoyer la cause à l'autorité précédente pour qu'elle réexamine cette question ( BERNARD CORBOZ, in Commentaire de la LTF, 2009, n° 9 ad art. 67 LTF ). En ce qui concerne les dépens, l' art. 68 al. 5 LTF précise que le Tribunal fédéral confirme, annule ou modifie, selon le sort de la cause, la décision de l'autorité précédente et qu'il peut arrêter lui-même les dépens d'après le tarif applicable ou laisser à l'autorité précédente le soin de les fixer.</w:t>
      </w:r>
    </w:p>
    <w:p>
      <w:r>
        <w:rPr>
          <w:b/>
        </w:rPr>
        <w:t>E. 2.2</w:t>
      </w:r>
    </w:p>
    <w:p>
      <w:r>
        <w:t>Dans son arrêt du 5 novembre 2012, la cour de céans a annulé le jugement cantonal et donné raison au recourant à propos de la validité de la résiliation de bail qu'il avait notifiée à l'intimée. Quand bien même la décision attaquée était modifiée, le Tribunal fédéral a omis, par inadvertance, de prendre position sur les frais et dépens de la procédure cantonale, que ce soit en tranchant la question lui-même ou en renvoyant la cause à l'autorité précédente pour nouvelle décision sur ce point. Le dispositif de l'arrêt du 5 novembre 2012 est donc incomplet et la demande de rectification se révèle fondée. Le Tribunal fédéral remédiera à l'omission constatée en renvoyant la cause au Juge unique de la Cour civile I du Tribunal cantonal du canton du Valais pour qu'il statue à nouveau sur les frais et dépens de l'instance cantonale.</w:t>
      </w:r>
    </w:p>
    <w:p>
      <w:r>
        <w:rPr>
          <w:b/>
        </w:rPr>
        <w:t>E. 3</w:t>
      </w:r>
    </w:p>
    <w:p>
      <w:r>
        <w:t>Il n'y a pas lieu de percevoir des frais judiciaires pour la procédure de rectification. En revanche, comme elle s'est opposée sans succès à la rectification, l'intimée versera des dépens au requérant ( art. 68 al. 1 et 2 LTF ), même si ce dernier n'a pas formulé de conclusions dans ce sens ( CORBOZ, op. cit., n° 53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