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4F_13/2025 vom 13. Mai 2025</w:t>
      </w:r>
    </w:p>
    <w:p>
      <w:r>
        <w:t>Bundesgericht, 2025-05-13, DE</w:t>
      </w:r>
    </w:p>
    <w:p>
      <w:r>
        <w:rPr>
          <w:b/>
        </w:rPr>
        <w:t xml:space="preserve">Quelle: </w:t>
      </w:r>
      <w:r>
        <w:t>https://mcp.opencaselaw.ch/entscheid/bger_4F_13_2025</w:t>
      </w:r>
    </w:p>
    <w:p>
      <w:r>
        <w:t>FR: TF 4F_13/2025 du 13 mai 2025</w:t>
      </w:r>
    </w:p>
    <w:p>
      <w:r>
        <w:t>IT: TF 4F_13/2025 del 13 maggio 2025</w:t>
      </w:r>
    </w:p>
    <w:p>
      <w:pPr>
        <w:pStyle w:val="Heading2"/>
      </w:pPr>
      <w:r>
        <w:t>Erwägungen</w:t>
      </w:r>
    </w:p>
    <w:p>
      <w:r>
        <w:rPr>
          <w:b/>
        </w:rPr>
        <w:t>E. 1</w:t>
      </w:r>
    </w:p>
    <w:p>
      <w:r>
        <w:t>Mit Urteil 4A_124/2025 vom 31. März 2025 trat das Bundesgericht auf eine vom Gesuchsteller gegen das Urteil des Obergerichts des Kantons Zürich vom 24. Februar 2025 erhobene Beschwerde im vereinfachten Verfahren nach Art. 108 Abs. 1 lit. b BGG nicht ein.</w:t>
      </w:r>
    </w:p>
    <w:p>
      <w:r>
        <w:t>Mit Eingabe vom 16. April 2025 beantragt der Gesuchsteller dem Bundesgericht die Revision des Urteils 4A_124/2025 vom 31. März 2025.</w:t>
      </w:r>
    </w:p>
    <w:p>
      <w:r>
        <w:t>Mit Eingabe vom 28. April 2025 reichte der Gesuchsteller dem Bundesgericht weitere Unterlagen ein.</w:t>
      </w:r>
    </w:p>
    <w:p>
      <w:r>
        <w:t>Am 10. Mai 2025 reichte der Gesuchsteller dem Bundesgericht eine weitere Eingabe samt Unterlagen ein.</w:t>
      </w:r>
    </w:p>
    <w:p>
      <w:r>
        <w:t>Es wurden keine Vernehmlassungen eingeholt.</w:t>
      </w:r>
    </w:p>
    <w:p>
      <w:r>
        <w:rPr>
          <w:b/>
        </w:rPr>
        <w:t>E. 2</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führt eine Verletzung verschiedener Bestimmungen von Bundesgesetzen, der Bundesverfassung sowie der EMRK ins Feld, macht jedoch keine Revisionsgründe im Sinne von Art. 121 ff. BGG geltend, geschweige denn legt er einen solchen im Einzelnen dar. Das Revisionsgesuch ist somit nicht rechtsgenügend begründet, weshalb darauf - ohne Durchführung eines Schriftenwechsels ( Art. 127 BGG ) - nicht einzutreten ist.</w:t>
      </w:r>
    </w:p>
    <w:p>
      <w:r>
        <w:t>Der Gesuchsteller wird darauf aufmerksam gemacht, dass weitere Eingaben dieser Art in der gleichen Sache künftig ohne Antwort abgelegt werden.</w:t>
      </w:r>
    </w:p>
    <w:p>
      <w:r>
        <w:rPr>
          <w:b/>
        </w:rPr>
        <w:t>E. 4</w:t>
      </w:r>
    </w:p>
    <w:p>
      <w:r>
        <w:t>Der Antrag des Gesuchstellers auf Gewährung der unentgeltlichen Rechtspflege samt Rechtsbeistand für das bundesgerichtliche Verfahren ist abzuweisen, da das Revisionsgesuch von vornherein aussichtslos war (vgl. Art. 64 Abs. 1 BGG ). Die Gerichtskosten sind gemäss Art. 66 Abs. 1 BGG dem Gesuchsteller aufzuerlegen. Der Gesuchsgegnerin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