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 12/2008 vom 4. November 2008</w:t>
      </w:r>
    </w:p>
    <w:p>
      <w:r>
        <w:t>Bundesgericht, 2008-11-04, DE</w:t>
      </w:r>
    </w:p>
    <w:p>
      <w:r>
        <w:rPr>
          <w:b/>
        </w:rPr>
        <w:t xml:space="preserve">Quelle: </w:t>
      </w:r>
      <w:r>
        <w:t>https://mcp.opencaselaw.ch/entscheid/bger_4F_12_2008</w:t>
      </w:r>
    </w:p>
    <w:p>
      <w:r>
        <w:t>FR: TF 4F 12/2008 du 4 novembre 2008</w:t>
      </w:r>
    </w:p>
    <w:p>
      <w:r>
        <w:t>IT: TF 4F 12/2008 del 4 novembre 2008</w:t>
      </w:r>
    </w:p>
    <w:p>
      <w:pPr>
        <w:pStyle w:val="Heading2"/>
      </w:pPr>
      <w:r>
        <w:t>Regeste</w:t>
      </w:r>
    </w:p>
    <w:p>
      <w:r>
        <w:t>Revision des bundesgerichtlichen Urteils vom 15. Mai 2008 (4A_106/2008) | Vertragsrecht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des Gesuchs abgeschrieben.</w:t>
      </w:r>
    </w:p>
    <w:p>
      <w:r>
        <w:rPr>
          <w:b/>
        </w:rPr>
        <w:t>E. 2</w:t>
      </w:r>
    </w:p>
    <w:p>
      <w:r>
        <w:t>Die Gerichtskosten von Fr. 300.-- werden den Gesuchstellern auferlegt.</w:t>
      </w:r>
    </w:p>
    <w:p>
      <w:r>
        <w:rPr>
          <w:b/>
        </w:rPr>
        <w:t>E. 3</w:t>
      </w:r>
    </w:p>
    <w:p>
      <w:r>
        <w:t>Diese Verfügung wird den Parteien und dem Kantonsgericht von Graubünden, Zivilkammer, schriftlich mitgeteilt. Lausanne, 4. November 2008 Im Namen der I. zivilrechtlichen Abteilung des Schweizerischen Bundesgerichts Das präsidierende Mitglied: Der Gerichtsschreiber: Klett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