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4F_11/2021 vom 11. Juni 2021</w:t>
      </w:r>
    </w:p>
    <w:p>
      <w:r>
        <w:t>Bundesgericht, 2021-06-11, DE</w:t>
      </w:r>
    </w:p>
    <w:p>
      <w:r>
        <w:rPr>
          <w:b/>
        </w:rPr>
        <w:t xml:space="preserve">Quelle: </w:t>
      </w:r>
      <w:r>
        <w:t>https://mcp.opencaselaw.ch/entscheid/bger_4F_11_2021</w:t>
      </w:r>
    </w:p>
    <w:p>
      <w:r>
        <w:t>FR: TF 4F_11/2021 du 11 juin 2021</w:t>
      </w:r>
    </w:p>
    <w:p>
      <w:r>
        <w:t>IT: TF 4F_11/2021 del 11 giugno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4A_488/2020 vom 19. Januar 2021 wies das Bundesgericht eine von A.________ (Gesuchsteller) erhobene Beschwerde ab, soweit es darauf eintrat.</w:t>
      </w:r>
    </w:p>
    <w:p>
      <w:r>
        <w:t>Mit Eingabe vom 23./24. Mai 2021 (Postaufgabe: 25. Mai 2021) hat A.________ um Revision dieses bundesgerichtlichen Urteils ersucht. Mit Schreiben vom 9. Juni 2021 gab er einen "Nachtrag zur Begründung" ein.</w:t>
      </w:r>
    </w:p>
    <w:p>
      <w:r>
        <w:t>Es wurden keine Vernehmlassungen eingeholt.</w:t>
      </w:r>
    </w:p>
    <w:p>
      <w:r>
        <w:rPr>
          <w:b/>
        </w:rPr>
        <w:t>E. 2</w:t>
      </w:r>
    </w:p>
    <w:p>
      <w:r>
        <w:t>Die Revision eines Entscheids des Bundesgerichts kann nur aufgrund der in den Art. 121-123 BGG abschliessend aufgezählten Gründe verlangt werden.</w:t>
      </w:r>
    </w:p>
    <w:p>
      <w:r>
        <w:t>Rechtsschriften müssen die Begehren und deren Begründung mit Angabe der Beweismittel enthalten ( Art. 42 Abs. 1 BGG ), ansonsten darauf nicht eingetreten werden kann (vgl. BGE 140 III 115 E. 2 S. 116; 134 II 244 E. 2.1). In der Begründung ist in gedrängter Form darzulegen, inwiefern der angefochtene Akt Recht verletzt ( Art. 42 Abs. 2 Satz 1 BGG ).</w:t>
      </w:r>
    </w:p>
    <w:p>
      <w:r>
        <w:t>In einem Revisionsgesuch ist dementsprechend unter Angabe der Beweismittel der Revisionsgrund im Einzelnen darzulegen. Dabei genügt es nicht, das Vorliegen eines Revisionsgrundes einfach zu behaupten; vielmehr muss dargetan werden, weshalb dieser gegeben und inwiefern gestützt darauf das Urteilsdispositiv abzuändern ist (siehe etwa Urteil 4F_2/2020 vom 13. Mai 2020 E. 1 mit Hinweisen).</w:t>
      </w:r>
    </w:p>
    <w:p>
      <w:r>
        <w:rPr>
          <w:b/>
        </w:rPr>
        <w:t>E. 3</w:t>
      </w:r>
    </w:p>
    <w:p>
      <w:r>
        <w:t>Der Gesuchsteller beruft sich in seiner Eingabe auf Art. 123 Abs. 1 BGG . Er wirft der Gesuchsgegnerin und einer mit dieser verbundenen Gesellschaft ein Verhalten "von strafrechtlicher Relevanz" vor. Diese hätten "in betrügerischer Absicht" "arglistig und vorsätzlich mit irreführenden Angaben" agiert und ein "unwürdige[s] und hinterhältige[s] Spiel" betrieben. Mit seinen Ausführungen tut der Gesuchsteller das Vorliegen eines gesetzlichen Revisionsgrundes nicht nachvollziehbar dar, auch nicht im "Nachtrag". Das Revisionsgesuch ist somit nicht rechtsgenügend begründet, weshalb darauf nicht einzutreten ist.</w:t>
      </w:r>
    </w:p>
    <w:p>
      <w:r>
        <w:rPr>
          <w:b/>
        </w:rPr>
        <w:t>E. 4</w:t>
      </w:r>
    </w:p>
    <w:p>
      <w:r>
        <w:t>Bei diesem Ausgang des Verfahrens sind die Gerichtskosten dem Gesuchsteller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