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4F_11/2010 vom 21. Oktober 2010</w:t>
      </w:r>
    </w:p>
    <w:p>
      <w:r>
        <w:t>Bundesgericht, 2010-10-21, FR</w:t>
      </w:r>
    </w:p>
    <w:p>
      <w:r>
        <w:rPr>
          <w:b/>
        </w:rPr>
        <w:t xml:space="preserve">Quelle: </w:t>
      </w:r>
      <w:r>
        <w:t>https://mcp.opencaselaw.ch/entscheid/bger_4F_11_2010</w:t>
      </w:r>
    </w:p>
    <w:p>
      <w:r>
        <w:t>FR: TF 4F_11/2010 du 21 octobre 2010</w:t>
      </w:r>
    </w:p>
    <w:p>
      <w:r>
        <w:t>IT: TF 4F_11/2010 del 21 ottobre 2010</w:t>
      </w:r>
    </w:p>
    <w:p>
      <w:pPr>
        <w:pStyle w:val="Heading2"/>
      </w:pPr>
      <w:r>
        <w:t>Erwägungen</w:t>
      </w:r>
    </w:p>
    <w:p>
      <w:r>
        <w:rPr>
          <w:b/>
        </w:rPr>
        <w:t>E. 1</w:t>
      </w:r>
    </w:p>
    <w:p>
      <w:r>
        <w:t>Aux termes de l' art. 121 let . c LTF, la révision d'un arrêt du Tribunal fédéral peut être demandée si le tribunal n'a pas statué sur certaines conclusions.</w:t>
      </w:r>
    </w:p>
    <w:p>
      <w:r>
        <w:t>La demande présentement soumise au Tribunal fédéral est dirigée uniquement contre le dispositif de l'arrêt attaqué relatif aux frais et dépens du procès, tandis que le dispositif concernant les prétentions qui étaient l'objet de ce procès n'est pas contesté. En pareil cas, la demande de révision n'est recevable que si le motif invoqué se rapporte directement à la liquidation des frais et dépens; au regard de l' art. 121 let . c LTF, correspondant à l' art. 136 let . c aOJ, cette condition est satisfaite notamment lorsque la partie qui a obtenu gain de cause fait valoir, à l'appui de la demande de révision, qu'elle avait pris des conclusions tendant aux dépens et que le Tribunal fédéral a omis de lui allouer cette indemnisation ( ATF 111 Ia 155 consid. 2 p. 155/156). Le défendeur affirme précisément que la Cour de céans n'a pas statué sur toutes ses conclusions relatives aux dépens. Pour le surplus, la demande a été introduite en temps utile ( art. 124 al. 1 let. b LTF ) et dans les formes requises (art. 42 al. 1 à 3 LTF); elle est donc recevable.</w:t>
      </w:r>
    </w:p>
    <w:p>
      <w:r>
        <w:rPr>
          <w:b/>
        </w:rPr>
        <w:t>E. 2</w:t>
      </w:r>
    </w:p>
    <w:p>
      <w:r>
        <w:t>Aux termes de l' art. 68 al. 1 et 5 LTF , le Tribunal fédéral décide, dans son arrêt, si et dans quelle mesure les frais de la partie qui obtient gain de cause sont supportés par celle qui succombe (al. 1); il confirme, annule ou modifie, selon le sort de la cause, la décision de l'autorité précédente sur les dépens; il peut fixer lui-même les dépens d'après le tarif fédéral ou cantonal applicable, ou laisser à l'autorité précédente le soin de les fixer (al. 5).</w:t>
      </w:r>
    </w:p>
    <w:p>
      <w:r>
        <w:t>Le défendeur a exercé le recours en matière civile et obtenu entièrement gain de cause sur le fond. Ses conclusions qu'il tient pour méconnues portaient globalement sur les dépens de l'instance fédérale, selon l' art. 68 al. 1 LTF , et sur ceux des deux instances cantonales, selon l' art. 68 al. 5 LTF . L'indemnité allouée par 6'500 fr. se rapporte seulement à l'instance fédérale; pour le surplus, conformément à la pratique consacrée en matière civile et prévue par l'art. 68 al. 5 in fine LTF, il s'imposait de renvoyer l'affaire à la Cour de justice pour que cette autorité statue à nouveau sur les frais et dépens des deux instances cantonales. Par inadvertance, cette clause de renvoi a été omise dans le dispositif. Contrairement à ce que le demandeur affirme pour s'opposer à la demande de révision, l'indemnité de 6'500 fr. n'était pas destinée à couvrir globalement les dépens des trois instances. Compte tenu que la Cour de justice a alloué au demandeur, selon son arrêt et pour les deux instances cantonales, une indemnité de 15'000 fr. pour participation à ses frais d'avocat, la conjecture ainsi avancée appert d'emblée invraisemblable (cf. ATF 114 Ia 332 consid. 2a p. 333/334). La demande de révision se révèle donc fondée et le Tribunal fédéral doit remédier à l'omission ici constatée. Nonobstant l' art. 128 al. 1 LTF , il n'est pas nécessaire d'annuler l'arrêt attaqué.</w:t>
      </w:r>
    </w:p>
    <w:p>
      <w:r>
        <w:rPr>
          <w:b/>
        </w:rPr>
        <w:t>E. 3</w:t>
      </w:r>
    </w:p>
    <w:p>
      <w:r>
        <w:t>Le demandeur s'est opposé sans succès à la demande de révision. Conformément aux art. 66 al. 1 et 68 al. 1 LTF, il doit acquitter l'émolument à percevoir par le Tribunal fédéral et les dépens auxquels son adverse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