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4D_9/2025 vom 27. Januar 2025</w:t>
      </w:r>
    </w:p>
    <w:p>
      <w:r>
        <w:t>Bundesgericht, 2025-01-27, DE</w:t>
      </w:r>
    </w:p>
    <w:p>
      <w:r>
        <w:rPr>
          <w:b/>
        </w:rPr>
        <w:t xml:space="preserve">Quelle: </w:t>
      </w:r>
      <w:r>
        <w:t>https://mcp.opencaselaw.ch/entscheid/bger_4D_9_2025</w:t>
      </w:r>
    </w:p>
    <w:p>
      <w:r>
        <w:t>FR: TF 4D_9/2025 du 27 janvier 2025</w:t>
      </w:r>
    </w:p>
    <w:p>
      <w:r>
        <w:t>IT: TF 4D_9/2025 del 27 gennaio 2025</w:t>
      </w:r>
    </w:p>
    <w:p>
      <w:pPr>
        <w:pStyle w:val="Heading2"/>
      </w:pPr>
      <w:r>
        <w:t>Erwägungen</w:t>
      </w:r>
    </w:p>
    <w:p>
      <w:r>
        <w:rPr>
          <w:b/>
        </w:rPr>
        <w:t>E. 1</w:t>
      </w:r>
    </w:p>
    <w:p>
      <w:r>
        <w:t>Die Präsidentin des Zivilgerichts des Sensebezirks erteilte mit Entscheid vom 2. August 2024 dem Beschwerdegegner in der Betreibung Nr. xxx des Betreibungsamtes des Sensebezirks die definitive Rechtsöffnung für Fr. 400.-- nebst Zins und für die Zahlungsbefehlskosten von Fr. 28.20. Der Beschwerdeführer erhob dagegen Beschwerde an das Kantonsgericht Freiburg und ersuchte um Gewährung der unentgeltlichen Rechtspflege. Mit Urteil vom 28. November 2024 trat das Kantonsgericht auf die Beschwerde nicht ein und wies das Gesuch um unentgeltliche Rechtspflege ab. Gegen den Entscheid des Kantonsgerichts erhebt der Beschwerdeführer mit Eingabe vom 14. Januar 2025 Beschwerde an das Bundesgericht. Gleichzeitig verlangt er die Gewährung der unentgeltlichen Rechtspflege für das bundesgerichtliche Verfahren.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die Beschwerde in Zivilsachen dennoch zulässig, wenn sich eine Rechtsfrage von grundsätzlicher Bedeutung stellt ( Art. 74 Abs. 2 lit. a BGG ), was die beschwerdeführende Partei aufzuzeigen hat ( Art. 42 Abs. 2 Satz 2 BGG ; BGE 136 II 489 E. 2.6; 133 III 439 E. 2.2.2.1, 645 E. 2.4).</w:t>
      </w:r>
    </w:p>
    <w:p>
      <w:r>
        <w:rPr>
          <w:b/>
        </w:rPr>
        <w:t>E. 2.2</w:t>
      </w:r>
    </w:p>
    <w:p>
      <w:r>
        <w:t>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äussert darin zwar seinen Missmut über Staat und Behörden, macht insbesondere einen Amts- und Machtmissbrauch geltend und rügt eine Verletzung von Verfassung und EMRK. Er schildert in seiner Eingabe aber bloss seine Sicht der Dinge, ohne indessen auf die Erwägungen der Vorinstanz konkret einzugehen, geschweige denn nachvollziehbar aufzuzeigen,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