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4D_95/2025 vom 29. Juli 2025</w:t>
      </w:r>
    </w:p>
    <w:p>
      <w:r>
        <w:t>Bundesgericht, 2025-07-29, DE</w:t>
      </w:r>
    </w:p>
    <w:p>
      <w:r>
        <w:rPr>
          <w:b/>
        </w:rPr>
        <w:t xml:space="preserve">Quelle: </w:t>
      </w:r>
      <w:r>
        <w:t>https://mcp.opencaselaw.ch/entscheid/bger_4D_95_2025</w:t>
      </w:r>
    </w:p>
    <w:p>
      <w:r>
        <w:t>FR: TF 4D_95/2025 du 29 juillet 2025</w:t>
      </w:r>
    </w:p>
    <w:p>
      <w:r>
        <w:t>IT: TF 4D_95/2025 del 29 luglio 2025</w:t>
      </w:r>
    </w:p>
    <w:p>
      <w:pPr>
        <w:pStyle w:val="Heading2"/>
      </w:pPr>
      <w:r>
        <w:t>Erwägungen</w:t>
      </w:r>
    </w:p>
    <w:p>
      <w:r>
        <w:rPr>
          <w:b/>
        </w:rPr>
        <w:t>E. 1</w:t>
      </w:r>
    </w:p>
    <w:p>
      <w:r>
        <w:t>Mit Entscheid vom 9. Januar 2025 trat das Zivilgericht des Sensebezirks auf das Gesuch des Beschwerdeführers um Erteilung der definitiven Rechtsöffnung in der Betreibung Nr. xxx des Betreibungsamtes U.________ nicht ein, da der Beschwerdeführer keinen Zahlungsbefehl eingereicht hatte. Mit Urteil vom 7. Mai 2025 wies das Kantonsgericht Freiburg die vom Beschwerdeführer gegen den Entscheid des Zivilgerichts des Sensebezirks vom 9 Januar 2025 erhobene Beschwerde ab. Das Gesuch des Beschwerdeführers um Gewährung des unentgeltlichen Rechtspflege wies das Kantonsgericht mangels Begründung und wegen Aussichtslosigkeit ab. Mit Eingabe vom 30. Mai 2025 erklärte der Beschwerdeführer dem Bundesgericht, den Entscheid des Kantonsgerichts Freiburg vom 7. Mai 2025 mit Beschwerde anfechten zu wollen. Zudem stellte er ein Gesuch um unentgeltliche Rechtspflege für das bundesgerichtliche Verfahren.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Eingabe des Beschwerdeführers vom 30. Mai 2025 erfüllt die genannten Begründungsanforderungen offensichtlich nicht. Er unterbreitet dem Bundesgericht in unzulässiger Weise seine eigene Sicht der Dinge. Er behauptet zwar einen Zustellungsfehler der Verfügung, mit welcher die Erstinstanz ihn zur Einreichung des Zahlungsbefehls aufforderte und behauptet, er habe den Zahlungsbefehl zusammen mit dem Gesuch um definitive Rechtsöffnung am 21. November 2024 als erste Beilage eingereicht. Er wirft der Vorinstanz zwar eine fehlerhafte Sachverhaltsfeststellung vor und macht eine Verletzung von Art. 29 BV und Art. 6 EMRK geltend. Er zeigt jedoch nicht unter Bezugnahme auf die Erwägungen im angefochtenen Entscheid auf, inwiefern die Vorinstanz diese verletzt haben soll. Ebenfalls ohne Bezug zum angefochtenen Urteil bleiben die Ausführungen des Beschwerdeführers zu seinem familiären Hintergrund, zu seiner gesundheitlichen Situation und zu seinem wirtschaftlichen Ruin infolge eines Behördenversagens, aus welchen er eine Verletzung von Art. 13 BV , Art. 8 EMRK und Art. 9 KRK ableitet. Inwiefern die Vorinstanz in Verletzung von Art. 29a BV sein Gesuch um unentgeltliche Rechtspflege abgewiesen haben soll, begründet der Beschwerdeführer ebenfalls nicht hinreichend präzise mit Bezug auf die Begründung im angefochtenen Urteil. Damit verfehlt der Beschwerdeführer offensichtlich die gesetzlichen Begründungsanforderungen. Auf die Beschwerde ist somit bereits mangels hinreichender Begründung nicht einzutreten ( Art. 108 Abs. 1 lit. b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Bei diesem Ausgang des Verfahrens sind die Gerichtskosten dem Beschwerdeführer aufzuerlegen ( Art. 66 Abs. 1 BGG ). Dem Beschwerdegegner ist keine Parteientschädigung zuzusprechen ( Art. 68 Abs. 3 BGG ), da ihm aus dem bundesgerichtlichen Verfahren kein entschädigungspflichtiger Aufwand erwachsen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