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4D_93/2024 vom 11. September 2024</w:t>
      </w:r>
    </w:p>
    <w:p>
      <w:r>
        <w:t>Bundesgericht, 2024-09-11, DE</w:t>
      </w:r>
    </w:p>
    <w:p>
      <w:r>
        <w:rPr>
          <w:b/>
        </w:rPr>
        <w:t xml:space="preserve">Quelle: </w:t>
      </w:r>
      <w:r>
        <w:t>https://mcp.opencaselaw.ch/entscheid/bger_4D_93_2024</w:t>
      </w:r>
    </w:p>
    <w:p>
      <w:r>
        <w:t>FR: TF 4D_93/2024 du 11 septembre 2024</w:t>
      </w:r>
    </w:p>
    <w:p>
      <w:r>
        <w:t>IT: TF 4D_93/2024 del 11 settembre 2024</w:t>
      </w:r>
    </w:p>
    <w:p>
      <w:pPr>
        <w:pStyle w:val="Heading2"/>
      </w:pPr>
      <w:r>
        <w:t>Erwägungen</w:t>
      </w:r>
    </w:p>
    <w:p>
      <w:r>
        <w:rPr>
          <w:b/>
        </w:rPr>
        <w:t>E. 1.1</w:t>
      </w:r>
    </w:p>
    <w:p>
      <w:r>
        <w:t>Mit Entscheid vom 6. Februar 2024 erteilte das Bezirksgericht Willisau den Beschwerdegegnern in der Betreibung Nr. xxx des Regionalen Betreibungsamtes Oberer Sempachersee gegen den Beschwerdeführer definitive Rechtsöffnung für Fr. 8'326.45 nebst 3.5 % Zins seit 3. November 2023 und für Fr. 43.70.</w:t>
      </w:r>
    </w:p>
    <w:p>
      <w:r>
        <w:rPr>
          <w:b/>
        </w:rPr>
        <w:t>E. 1.2</w:t>
      </w:r>
    </w:p>
    <w:p>
      <w:r>
        <w:t>Mit Entscheid vom 7. Mai 2024 trat das Kantonsgericht Luzern auf die Beschwerde des Beschwerdeführers gegen den Entscheid des Bezirksgerichts Willisau mangels hinreichender Begründung nicht ein.</w:t>
      </w:r>
    </w:p>
    <w:p>
      <w:r>
        <w:rPr>
          <w:b/>
        </w:rPr>
        <w:t>E. 1.3</w:t>
      </w:r>
    </w:p>
    <w:p>
      <w:r>
        <w:t>Mit Eingabe vom 17. Juni 2024 erklärt der Beschwerdeführer dem Bundesgericht, den Entscheid des Kantonsgerichts Luzern vom 7. Mai 2024 mit Beschwerde anfechten zu wollen. Zudem ersucht er um Erteilung der unentgeltlichen Rechtspflege für das bundesgerichtliche Verfahren.</w:t>
      </w:r>
    </w:p>
    <w:p>
      <w:r>
        <w:rPr>
          <w:b/>
        </w:rPr>
        <w:t>E. 2</w:t>
      </w:r>
    </w:p>
    <w:p>
      <w:r>
        <w:t>Das Bundesgericht prüft von Amtes wegen und mit freier Kognition, ob ein Rechtsmittel zulässig ist ( Art. 29 Abs. 1 BGG ; BGE 141 III 395 E. 2.1 mit Hinweisen).</w:t>
      </w:r>
    </w:p>
    <w:p>
      <w:r>
        <w:rPr>
          <w:b/>
        </w:rPr>
        <w:t>E. 2.1</w:t>
      </w:r>
    </w:p>
    <w:p>
      <w:r>
        <w:t>Beschwerden an das Bundesgericht sind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Der Beschwerdeführer beantragt dem Bundesgericht in seiner Beschwerde vom 17. Juni 2024 und mit Eingabe vom 16. Juli 2024 eine Erstreckung der Beschwerdefrist, da es ihm aus zeitlichen Gründen nicht möglich gewesen sei, innert Frist eine Begründung zu verfassen. Diesem Antrag kann nicht entsprochen werden, da es sich bei der Beschwerdefrist gemäss Art. 100 Abs. 1 BGG um eine gesetzliche Frist im Sinne von Art. 47 Abs. 1 BGG handelt, die nicht erstreckt werden kann.</w:t>
      </w:r>
    </w:p>
    <w:p>
      <w:r>
        <w:rPr>
          <w:b/>
        </w:rPr>
        <w:t>E. 2.3</w:t>
      </w:r>
    </w:p>
    <w:p>
      <w:r>
        <w:t>Der Beschwerdeführer hat innert der Beschwerdefrist keine Begründung seiner Beschwerde eingereicht. Auf die Beschwerde ist deshalb im vereinfachten Verfahren gemäss Art. 108 Abs. 1 lit. a und lit. b BGG nicht einzutreten.</w:t>
      </w:r>
    </w:p>
    <w:p>
      <w:r>
        <w:rPr>
          <w:b/>
        </w:rPr>
        <w:t>E. 3</w:t>
      </w:r>
    </w:p>
    <w:p>
      <w:r>
        <w:t>Das Gesuch um Gewährung der unentgeltlichen Rechtspflege für das bundesgerichtliche Verfahren ist abzuweisen, weil die Beschwerde von vornherein aussichtslos war ( Art. 64 Abs. 1 BGG ). Die Gerichtskosten sind gemäss Art. 66 Abs. 1 BGG dem Beschwerdeführer aufzuerlegen. Den Beschwerdegegnern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