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4D_92/2025 vom 18. Juni 2025</w:t>
      </w:r>
    </w:p>
    <w:p>
      <w:r>
        <w:t>Bundesgericht, 2025-06-18, DE</w:t>
      </w:r>
    </w:p>
    <w:p>
      <w:r>
        <w:rPr>
          <w:b/>
        </w:rPr>
        <w:t xml:space="preserve">Quelle: </w:t>
      </w:r>
      <w:r>
        <w:t>https://mcp.opencaselaw.ch/entscheid/bger_4D_92_2025</w:t>
      </w:r>
    </w:p>
    <w:p>
      <w:r>
        <w:t>FR: TF 4D_92/2025 du 18 juin 2025</w:t>
      </w:r>
    </w:p>
    <w:p>
      <w:r>
        <w:t>IT: TF 4D_92/2025 del 18 giugno 2025</w:t>
      </w:r>
    </w:p>
    <w:p>
      <w:pPr>
        <w:pStyle w:val="Heading2"/>
      </w:pPr>
      <w:r>
        <w:t>Erwägungen</w:t>
      </w:r>
    </w:p>
    <w:p>
      <w:r>
        <w:rPr>
          <w:b/>
        </w:rPr>
        <w:t>E. 1</w:t>
      </w:r>
    </w:p>
    <w:p>
      <w:r>
        <w:t>Mit Entscheid vom 6. Mai 2025 trat das Obergericht des Kantons Bern auf eine vom Beschwerdeführer gegen den Entscheidvorschlag der Schlichtungsbehörde Oberland vom 26. Februar 2025 erhobene Beschwerde nicht ein und auferlegte dem Beschwerdeführer die Gerichtskosten.</w:t>
      </w:r>
    </w:p>
    <w:p>
      <w:r>
        <w:t>Mit Eingabe vom 21. Mai 2025 erklärte der Beschwerdeführer dem Bundesgericht, den Entscheid des Obergerichts des Kantons Bern vom 6. Mai 2025 mit Beschwerde anfechten zu wollen.</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Der Streitwert erreicht die Streitwertgrenze für eine Beschwerde in Zivilsachen gemäss Art. 74 Abs. 1 BGG nicht. Diese ist daher nur zulässig, wenn sich eine Rechtsfrage von grundsätzlicher Bedeutung stellt ( Art. 74 Abs. 2 lit. a BGG ), was die beschwerdeführende Partei aufzuzeigen hat ( Art. 42 Abs. 2 Satz 2 BGG ).</w:t>
      </w:r>
    </w:p>
    <w:p>
      <w:r>
        <w:t>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Neue tatsächliche Vorbringen und Beweismittel sind grundsätzlich ausgeschlossen und neue Begehren unzulässig (Art. 99 i.V.m. Art. 117 BGG ).</w:t>
      </w:r>
    </w:p>
    <w:p>
      <w:r>
        <w:rPr>
          <w:b/>
        </w:rPr>
        <w:t>E. 2.4</w:t>
      </w:r>
    </w:p>
    <w:p>
      <w:r>
        <w:t>Die Eingabe des Beschwerdeführers vom 21. Mai 2025 erfüllt die genannten Begründungsanforderungen offensichtlich nicht. Er zeigt nicht unter Bezugnahme auf die Erwägungen des angefochtenen Entscheids des Obergerichts des Kantons Bern vom 6. Mai 2025 auf, inwiefern die Vorinstanz mit ihrem Nichteintretensentscheid verfassungsmässige Rechte verletzt hätte, sondern unterbreitet dem Bundesgericht in unzulässiger Weise seine eigene Sicht der Dinge. Er erwähnt zwar Art. 9, Art. 29 und Art. 29a BV , zeigt jedoch nicht hinreichend unter Bezugnahme auf die konkreten Erwägungen des angefochtenen Entscheids auf, inwiefern die Vorinstanz diese verletzt hätte.</w:t>
      </w:r>
    </w:p>
    <w:p>
      <w:r>
        <w:t>Auf die Beschwerde ist somit bereits mangels hinreichender Begründung nicht einzutreten ( Art. 108 Abs. 1 lit. b BGG ).</w:t>
      </w:r>
    </w:p>
    <w:p>
      <w:r>
        <w:rPr>
          <w:b/>
        </w:rPr>
        <w:t>E. 3</w:t>
      </w:r>
    </w:p>
    <w:p>
      <w:r>
        <w:t>Das Gesuch um unentgeltliche Rechtspflege für das bundesgerichtliche Verfahren ist bereits wegen Aussichtslosigkeit der Beschwerde abzuweisen ( Art. 64 Abs. 1 BGG ). Der Beschwerdeführer wird bei diesem Verfahrensausgang kostenpflichtig ( Art. 66 Abs. 1 BGG ). Den Beschwerdegegnern steht keine Parteientschädigung zu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