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4D_92/2024 vom 16. Juli 2024</w:t>
      </w:r>
    </w:p>
    <w:p>
      <w:r>
        <w:t>Bundesgericht, 2024-07-16, DE</w:t>
      </w:r>
    </w:p>
    <w:p>
      <w:r>
        <w:rPr>
          <w:b/>
        </w:rPr>
        <w:t xml:space="preserve">Quelle: </w:t>
      </w:r>
      <w:r>
        <w:t>https://mcp.opencaselaw.ch/entscheid/bger_4D_92_2024</w:t>
      </w:r>
    </w:p>
    <w:p>
      <w:r>
        <w:t>FR: TF 4D_92/2024 du 16 juillet 2024</w:t>
      </w:r>
    </w:p>
    <w:p>
      <w:r>
        <w:t>IT: TF 4D_92/2024 del 16 luglio 2024</w:t>
      </w:r>
    </w:p>
    <w:p>
      <w:pPr>
        <w:pStyle w:val="Heading2"/>
      </w:pPr>
      <w:r>
        <w:t>Erwägungen</w:t>
      </w:r>
    </w:p>
    <w:p>
      <w:r>
        <w:rPr>
          <w:b/>
        </w:rPr>
        <w:t>E. 1.1</w:t>
      </w:r>
    </w:p>
    <w:p>
      <w:r>
        <w:t>Mit Entscheid vom 1. März 2024 erteilte das Bezirksgericht Hochdorf der Beschwerdegegnerin in der Betreibung Nr. xxx des Betreibungsamts U.________ gegen den Beschwerdeführer für bevorschusste Kinderunterhaltsbeiträge von Fr. 11'760.-- gestützt auf einen Abänderungsentscheid des Kreisgerichts See-Gaster vom 14. Januar 2019 definitive Rechtsöffnung.</w:t>
      </w:r>
    </w:p>
    <w:p>
      <w:r>
        <w:rPr>
          <w:b/>
        </w:rPr>
        <w:t>E. 1.2</w:t>
      </w:r>
    </w:p>
    <w:p>
      <w:r>
        <w:t>Mit Entscheid vom 7. Mai 2024 trat das Kantonsgericht Luzern auf die Beschwerde des Beschwerdeführers gegen den Entscheid des Bezirksgerichts Hochdorf vom 1. März 2024 nicht ein, da die Vorbringen des Beschwerdeführers den Begründungsanforderungen nicht genügten.</w:t>
      </w:r>
    </w:p>
    <w:p>
      <w:r>
        <w:rPr>
          <w:b/>
        </w:rPr>
        <w:t>E. 1.3</w:t>
      </w:r>
    </w:p>
    <w:p>
      <w:r>
        <w:t>Mit Eingabe vom 17. Juni 2024 erklärte der Beschwerdeführer dem Bundesgericht, den Entscheid des Kantonsgerichts Luzern vom 7. Mai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8 E. 4.1).</w:t>
      </w:r>
    </w:p>
    <w:p>
      <w:r>
        <w:rPr>
          <w:b/>
        </w:rPr>
        <w:t>E. 2.4</w:t>
      </w:r>
    </w:p>
    <w:p>
      <w:r>
        <w:t>Die Eingabe des Beschwerdeführers genügt den genannten Begründungsanforderungen offensichtlich nicht. Er zeigt nicht unter Bezugnahme auf die Erwägungen des angefochtenen Entscheids auf, inwiefern die Vorinstanz durch die Anwendung der Anforderungen an eine hinreichende Beschwerdebegründung verfassungsmässige Rechte verletzt haben soll. Er unterbreitet dem Bundesgericht stattdessen in unzulässiger Weise seine Sicht der Dinge, indem er bekräftigt, die in Betreibung gesetzte Forderung ohne DNA-Vaterschaftstest nicht bezahlen zu wollen, den angefochtenen Entscheid pauschal als unsachlich bezeichnet und unter Beilage einer Rechtsschrift aus einem anderen Verfahren sowie einem Internetausdruck einem Rechtsanwalt einen direkten oder indirekten "käuflichen Einfluss" auf den angefochtenen Entscheid unterstellt. Auf die Beschwerde ist somit im vereinfachten Verfahren gemäss Art. 108 Abs. 1 lit. b BGG nicht einzutreten.</w:t>
      </w:r>
    </w:p>
    <w:p>
      <w:r>
        <w:rPr>
          <w:b/>
        </w:rPr>
        <w:t>E. 3</w:t>
      </w:r>
    </w:p>
    <w:p>
      <w:r>
        <w:t>Der Beschwerdeführer wird bei diesem Verfahrensausgang kostenpflichtig ( Art. 66 Abs. 1 BGG ). Der Beschwerdegegnerin ist keine Parteientschädigung zuzusprechen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