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4D_91/2025 vom 12. Juni 2025</w:t>
      </w:r>
    </w:p>
    <w:p>
      <w:r>
        <w:t>Bundesgericht, 2025-06-12, DE</w:t>
      </w:r>
    </w:p>
    <w:p>
      <w:r>
        <w:rPr>
          <w:b/>
        </w:rPr>
        <w:t xml:space="preserve">Quelle: </w:t>
      </w:r>
      <w:r>
        <w:t>https://mcp.opencaselaw.ch/entscheid/bger_4D_91_2025</w:t>
      </w:r>
    </w:p>
    <w:p>
      <w:r>
        <w:t>FR: TF 4D_91/2025 du 12 juin 2025</w:t>
      </w:r>
    </w:p>
    <w:p>
      <w:r>
        <w:t>IT: TF 4D_91/2025 del 12 giugno 2025</w:t>
      </w:r>
    </w:p>
    <w:p>
      <w:pPr>
        <w:pStyle w:val="Heading2"/>
      </w:pPr>
      <w:r>
        <w:t>Erwägungen</w:t>
      </w:r>
    </w:p>
    <w:p>
      <w:r>
        <w:rPr>
          <w:b/>
        </w:rPr>
        <w:t>E. 1</w:t>
      </w:r>
    </w:p>
    <w:p>
      <w:r>
        <w:t>Mit Urteil vom 3. April 2025 erteilte das Bezirksgericht Winterthur der Beschwerdegegnerin in der Betreibung Nr. xxx des Betreibungsamtes (...) (Zahlungsbefehl vom 23. Januar 2025) definitive Rechtsöffnung für Fr. 7'738.55 nebst Zins zu 5 % seit 17. Dezember 2024 und Entschädigung gemäss Ziff. 6 des Urteils sowie provisorische Rechtsöffnung für 400.-- nebst Zins zu 5 % seit 12. März 2023. Im Mehrbetrag (Fr. 640.--) wies es das Rechtsöffnungsbegehren ab. Dagegen erhob der Beschwerdeführer Beschwerde an das Obergericht des Kantons Zürich. Das Obergericht trat mit Beschluss vom 6. Mai 2025 auf die Beschwerde nicht ein und wies das Ausstandsgesuch gegen erstinstanzliche Gerichtspersonen ab.</w:t>
      </w:r>
    </w:p>
    <w:p>
      <w:r>
        <w:t>Gegen diesen Beschluss erhebt der Beschwerdeführer mit Eingabe vom 23. Mai 2025 Beschwerde an das Bundesgericht. Mit Verfügung vom 26. Mai 2025 wurde der Beschwerdeführer aufgefordert einen Gerichtskostenvorschuss zu leisten, woraufhin der Beschwerdeführer mit Eingabe vom 5. Juni 2025 sinngemäss ein Gesuch um unentgeltliche Rechtspflege stellte.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8'138.55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