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4D_89/2010 vom 6. September 2010</w:t>
      </w:r>
    </w:p>
    <w:p>
      <w:r>
        <w:t>Bundesgericht, 2010-09-06, FR</w:t>
      </w:r>
    </w:p>
    <w:p>
      <w:r>
        <w:rPr>
          <w:b/>
        </w:rPr>
        <w:t xml:space="preserve">Quelle: </w:t>
      </w:r>
      <w:r>
        <w:t>https://mcp.opencaselaw.ch/entscheid/bger_4D_89_2010</w:t>
      </w:r>
    </w:p>
    <w:p>
      <w:r>
        <w:t>FR: TF 4D_89/2010 du 6 septembre 2010</w:t>
      </w:r>
    </w:p>
    <w:p>
      <w:r>
        <w:t>IT: TF 4D_89/2010 del 6 settembre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1er juillet 2010, la Commission de taxation des honoraires d'avocat du canton de Genève (ci-après: la Commission) a fixé à 2'039 fr. 75 les frais et honoraires dus à Me Y.________, avocat à Genève, pour son activité déployée dans la défense des intérêts de X.________.</w:t>
      </w:r>
    </w:p>
    <w:p>
      <w:r>
        <w:rPr>
          <w:b/>
        </w:rPr>
        <w:t>E. 2</w:t>
      </w:r>
    </w:p>
    <w:p>
      <w:r>
        <w:t>Le 27 juillet 2010, X.________ a formé un recours au Tribunal fédéral contre cette décision. Il conclut à l'annulation de celle-ci, à la condamnation de Me Y.________ au paiement d'une indemnité pour tort moral, au remboursement de l'argent versé et à la rédaction d'une lettre d'excuses par une collaboratrice de l'avocat prénommé.</w:t>
      </w:r>
    </w:p>
    <w:p>
      <w:r>
        <w:t>L'intimé et la Commission, qui a produit son dossier, n'ont pas été invités à déposer une réponse.</w:t>
      </w:r>
    </w:p>
    <w:p>
      <w:r>
        <w:rPr>
          <w:b/>
        </w:rPr>
        <w:t>E. 3</w:t>
      </w:r>
    </w:p>
    <w:p>
      <w:r>
        <w:t>Le recours soumis à l'examen du Tribunal fédéral est intitulé "Recours en matière de droit public". Il n'entre toutefois pas dans les prévisions de l' art. 82 LTF , mais vise une décision rendue en matière civile. Aussi seul le recours en matière civile ( art. 72 ss LTF ) entre-t-il en ligne de compte en l'espèce, pour autant que ses autres conditions de recevablité soient réalisées. Tel n'est cependant pas le cas. En effet, le montant en litige est inférieur à la valeur litigieuse minimum de 30'000 fr. fixée à l' art. 74 al. 1 let. b LTF pour la recevabilité du recours en matière civile. Le présent recours ne peut ainsi être traité que comme un recours constitutionnel subsidiaire ( art. 113 ss LTF ).</w:t>
      </w:r>
    </w:p>
    <w:p>
      <w:r>
        <w:rPr>
          <w:b/>
        </w:rPr>
        <w:t>E. 4</w:t>
      </w:r>
    </w:p>
    <w:p>
      <w:r>
        <w:t>Les conclusions du recourant qui n'ont pas trait à la fixation des frais et honoraires de son ex-mandataire sortent du cadre de la compétence de la Commission (cf. arrêt 4A_602/2009 du 16 février 2010 consid. 1.1). De ce fait, elles sont irrecevables devant le Tribunal fédéral.</w:t>
      </w:r>
    </w:p>
    <w:p>
      <w:r>
        <w:rPr>
          <w:b/>
        </w:rPr>
        <w:t>E. 5</w:t>
      </w:r>
    </w:p>
    <w:p>
      <w:r>
        <w:t>Le recours constitutionnel subsidiaire ne peut être formé que pour la violation de droits constitutionnels ( art. 116 LTF ) et le Tribunal fédéral n'examine la violation de tels droits que si un grief de ce chef a été invoqué et motivé par le recourant ( art. 106 al. 2 LTF auquel renvoie l' art. 117 LTF ). Or, on cherche en vain dans l'acte de recours l'indication d'un droit constitutionnel qui aurait été méconnu par la Commission.</w:t>
      </w:r>
    </w:p>
    <w:p>
      <w:r>
        <w:t>Dans ces conditions, il n'est pas possible d'entrer en matière, faute d'une motivation suffisante ( art. 42 al. 2 LTF ). Application sera donc faite de la procédure simplifiée, conformément à l' art. 108 al. 1 LTF en liaison avec l' art. 117 LTF .</w:t>
      </w:r>
    </w:p>
    <w:p>
      <w:r>
        <w:rPr>
          <w:b/>
        </w:rPr>
        <w:t>E. 5.1</w:t>
      </w:r>
    </w:p>
    <w:p>
      <w:r>
        <w:t>Succombant, le recourant devra payer les frais de la procédure fédérale ( art. 66 al. 1 LTF ). En revanche, il n'aura pas à verser de dépens à l'intimé, puisque celui-ci n'a pas été invité à déposer une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