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4D_87/2025 vom 6. Juni 2025</w:t>
      </w:r>
    </w:p>
    <w:p>
      <w:r>
        <w:t>Bundesgericht, 2025-06-06, DE</w:t>
      </w:r>
    </w:p>
    <w:p>
      <w:r>
        <w:rPr>
          <w:b/>
        </w:rPr>
        <w:t xml:space="preserve">Quelle: </w:t>
      </w:r>
      <w:r>
        <w:t>https://mcp.opencaselaw.ch/entscheid/bger_4D_87_2025</w:t>
      </w:r>
    </w:p>
    <w:p>
      <w:r>
        <w:t>FR: TF 4D_87/2025 du 6 juin 2025</w:t>
      </w:r>
    </w:p>
    <w:p>
      <w:r>
        <w:t>IT: TF 4D_87/2025 del 6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4D_87/2025</w:t>
      </w:r>
    </w:p>
    <w:p>
      <w:r>
        <w:t>Verfügung vom 6. Juni 2025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Arbeitsvertrag; Rückzug,</w:t>
      </w:r>
    </w:p>
    <w:p>
      <w:r>
        <w:t>Beschwerde gegen das Urteil des Obergerichts des Kantons Zürich, I. Zivilkammer, vom 15. April 2025 (RU250029-O/U).</w:t>
      </w:r>
    </w:p>
    <w:p>
      <w:r>
        <w:t>In Erwägung,</w:t>
      </w:r>
    </w:p>
    <w:p>
      <w:r>
        <w:t>dass der Beschwerdeführer seine Beschwerde vom 14. Mai 2025 gegen das Urteil des Obergerichts des Kantons Zürich vom 15. April 2025 (RU250029-O/U) mit Schreiben vom 4. Juni 2025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 und 2 BGG );</w:t>
      </w:r>
    </w:p>
    <w:p>
      <w:r>
        <w:t>dass der Beschwerdegegnerin keine Parteientschädigung zuzusprechen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150.-- werden dem Beschwerdeführer auferlegt.</w:t>
      </w:r>
    </w:p>
    <w:p>
      <w:r>
        <w:t>3.</w:t>
      </w:r>
    </w:p>
    <w:p>
      <w:r>
        <w:t>Diese Verfügung wird den Parteien und dem Obergericht des Kantons Zürich, I. Zivilkammer, schriftlich mitgeteilt.</w:t>
      </w:r>
    </w:p>
    <w:p>
      <w:r>
        <w:t>Lausanne, 6. Juni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