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4D_86/2024 vom 1. Juli 2024</w:t>
      </w:r>
    </w:p>
    <w:p>
      <w:r>
        <w:t>Bundesgericht, 2024-07-01, DE</w:t>
      </w:r>
    </w:p>
    <w:p>
      <w:r>
        <w:rPr>
          <w:b/>
        </w:rPr>
        <w:t xml:space="preserve">Quelle: </w:t>
      </w:r>
      <w:r>
        <w:t>https://mcp.opencaselaw.ch/entscheid/bger_4D_86_2024</w:t>
      </w:r>
    </w:p>
    <w:p>
      <w:r>
        <w:t>FR: TF 4D_86/2024 du 1 juillet 2024</w:t>
      </w:r>
    </w:p>
    <w:p>
      <w:r>
        <w:t>IT: TF 4D_86/2024 del 1 luglio 2024</w:t>
      </w:r>
    </w:p>
    <w:p>
      <w:pPr>
        <w:pStyle w:val="Heading2"/>
      </w:pPr>
      <w:r>
        <w:t>Erwägungen</w:t>
      </w:r>
    </w:p>
    <w:p>
      <w:r>
        <w:rPr>
          <w:b/>
        </w:rPr>
        <w:t>E. 1.1</w:t>
      </w:r>
    </w:p>
    <w:p>
      <w:r>
        <w:t>Mit Urteil vom 28. Februar 2024 erteilte das Bezirksgericht Zürich dem Beschwerdegegner in der Betreibung Nr. xxx des Betreibungsamts X.________ gestützt auf mehrere Entscheide zürcherischer Gerichte für Gerichtskosten von Fr. 2'555.-- definitive Rechtsöffnung gegen den Beschwerdeführer.</w:t>
      </w:r>
    </w:p>
    <w:p>
      <w:r>
        <w:rPr>
          <w:b/>
        </w:rPr>
        <w:t>E. 1.2</w:t>
      </w:r>
    </w:p>
    <w:p>
      <w:r>
        <w:t>Mit Urteil vom 30. April 2024 wies das Obergericht des Kantons Zürich eine gegen den erstinstanzlichen Rechtsöffnungsentscheid geführte Beschwerde des Beschwerdeführers ab, soweit es darauf eintrat.</w:t>
      </w:r>
    </w:p>
    <w:p>
      <w:r>
        <w:rPr>
          <w:b/>
        </w:rPr>
        <w:t>E. 1.3</w:t>
      </w:r>
    </w:p>
    <w:p>
      <w:r>
        <w:t>Mit Eingabe vom 5. Mai 2024 (Postaufgabe 6. Juni 2024) erklärte der Beschwerdeführer dem Bundesgericht, das Urteil des Obergerichts des Kantons Zürich vom 30. April 2024 mit Beschwerde anfechten zu wollen. Mit Eingabe vom 24. Juni 2024 stellte der Beschwerdeführer ein Gesuch um unentgeltliche Rechtspflege für das bundesgerichtliche Verfahren.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2.4</w:t>
      </w:r>
    </w:p>
    <w:p>
      <w:r>
        <w:t>Die Eingabe des Beschwerdeführers erfüllt die genannten Begründungsanforderungen offensichtlich nicht. Die Vorinstanz begründete ihr angefochtenes Urteil im Wesentlichen damit, dass der Beschwerdeführer keine Einwendungen gemäss Art. 81 Abs. 1 SchKG erhoben habe und im Verfahren auf definitive Rechtsöffnung die sachliche Richtigkeit des der Rechtsöffnung zugrunde liegenden Entscheids nicht mehr überprüft werde. Der Beschwerdeführer zeigt nicht unter Bezugnahme auf diese Erwägungen auf, inwiefern die Vorinstanz verfassungsmässige Rechte verletzt hätte. Er unterbreitet dem Bundesgericht in unzulässiger und nur schwer verständlicher Weise seine eigene Sicht der Dinge zu seinen persönlichen Umständen und zu versicherungsrechtlichen Verfahren, um daraus den Schluss zu ziehen, dass die beteiligten Versicherungen, Behörden und Anwälte die Unwahrheit sagten, gegen ihn gearbeitet hätten und er alles beweisen könne.</w:t>
      </w:r>
    </w:p>
    <w:p>
      <w:r>
        <w:t>Auf die Beschwerde ist somit mangels hinreichender Begründung nicht einzutreten ( Art. 108 Abs. 1 lit. b BGG )</w:t>
      </w:r>
    </w:p>
    <w:p>
      <w:r>
        <w:rPr>
          <w:b/>
        </w:rPr>
        <w:t>E. 3</w:t>
      </w:r>
    </w:p>
    <w:p>
      <w:r>
        <w:t>Das Gesuch um Gewährung der unentgeltlichen Rechtspflege für das bundesgerichtliche Verfahren ist bereits wegen Aussichtslosigkeit abzuweisen ( Art. 64 Abs. 1 BGG ). Der Beschwerdeführer wird bei diesem Verfahrensausgang kostenpflichtig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