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4D_83/2024 vom 3. Juli 2024</w:t>
      </w:r>
    </w:p>
    <w:p>
      <w:r>
        <w:t>Bundesgericht, 2024-07-03, DE</w:t>
      </w:r>
    </w:p>
    <w:p>
      <w:r>
        <w:rPr>
          <w:b/>
        </w:rPr>
        <w:t xml:space="preserve">Quelle: </w:t>
      </w:r>
      <w:r>
        <w:t>https://mcp.opencaselaw.ch/entscheid/bger_4D_83_2024</w:t>
      </w:r>
    </w:p>
    <w:p>
      <w:r>
        <w:t>FR: TF 4D_83/2024 du 3 juillet 2024</w:t>
      </w:r>
    </w:p>
    <w:p>
      <w:r>
        <w:t>IT: TF 4D_83/2024 del 3 luglio 2024</w:t>
      </w:r>
    </w:p>
    <w:p>
      <w:pPr>
        <w:pStyle w:val="Heading2"/>
      </w:pPr>
      <w:r>
        <w:t>Erwägungen</w:t>
      </w:r>
    </w:p>
    <w:p>
      <w:r>
        <w:rPr>
          <w:b/>
        </w:rPr>
        <w:t>E. 1</w:t>
      </w:r>
    </w:p>
    <w:p>
      <w:r>
        <w:t>Mit Entscheid vom 1. März 2024 erteilte das Zivilgericht Basel-Stadt dem Beschwerdegegner in der Betreibung Nr. xxx gegenüber dem Beschwerdeführer 2 definitive Rechtsöffnung für CHF 170.-- gesetzliche Gebühren. Die weitergehenden Begehren wurden abgewiesen. Gegen diesen Entscheid erhob die Beschwerdeführerin 1 in ihrem Namen als auch im Namen ihres Ehemanns, dem Beschwerdeführer 2, Beschwerde beim Appellationsgericht des Kantons Basel-Stadt. Das Appellationsgericht trat mit Entscheid vom 24. Mai 2024 auf die Beschwerden nicht ein.</w:t>
      </w:r>
    </w:p>
    <w:p>
      <w:r>
        <w:t>Gegen diesen Entscheid erhebt die Beschwerdeführerin 1 mit Eingabe vom 31. Mai 2024 Beschwerde an das Bundesgericht. Am 4. und 5. Juni 2024 reichte sie weitere Eingaben ein.</w:t>
      </w:r>
    </w:p>
    <w:p>
      <w:r>
        <w:t>Auf das Einholen von Vernehmlassungen zur Beschwerde wurde verzichtet.</w:t>
      </w:r>
    </w:p>
    <w:p>
      <w:r>
        <w:rPr>
          <w:b/>
        </w:rPr>
        <w:t>E. 2</w:t>
      </w:r>
    </w:p>
    <w:p>
      <w:r>
        <w:t>Die Beschwerdeführerin 1 erklärt, dass die Vorinstanz "das Recht" ihres Ehemanns verletzt habe und sie daher mitbetroffen sei. Soweit sie auch für ihn Beschwerde führen will, ist ihr aus ihren zahlreichen früheren Verfahren vor Bundesgericht bekannt (vgl. etwa Urteil 5A_234/2024 vom 24. April 2024 E. 2), dass sie ihn vor Bundesgericht in einem Verfahren wie dem vorliegenden nicht vertreten kann, da die Vertretung in Zivilsachen Anwälten vorbehalten ist ( Art. 40 Abs. 1 BGG ). Angesichts des Ausgangs des Verfahrens kann auf eine Aufforderung zur Behebung des Mangels ( Art. 42 Abs. 5 BGG ) verzichtet werden.</w:t>
      </w:r>
    </w:p>
    <w:p>
      <w:r>
        <w:rPr>
          <w:b/>
        </w:rPr>
        <w:t>E. 3</w:t>
      </w:r>
    </w:p>
    <w:p>
      <w:r>
        <w:t>Das Bundesgericht prüft von Amtes wegen und mit freier Kognition, ob ein Rechtsmittel zulässig ist ( Art. 29 Abs. 1 BGG ; BGE 149 III 277 E. 3.1 mit Hinweisen).</w:t>
      </w:r>
    </w:p>
    <w:p>
      <w:r>
        <w:rPr>
          <w:b/>
        </w:rPr>
        <w:t>E. 3.1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170.-- und erreicht damit die Streitwertgrenze nicht.</w:t>
      </w:r>
    </w:p>
    <w:p>
      <w:r>
        <w:rPr>
          <w:b/>
        </w:rPr>
        <w:t>E. 3.2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Eingaben der Beschwerdeführerin erfüllen diese Begründungsanforderungen offensichtlich nicht. Sie schildert in schwerverständlicher Art und Weise ihre Sicht der Dinge zu verschiedensten Themen. Sie geht indessen auf die Erwägungen der Vorinstanz nicht hinreichend konkret ein, geschweige denn zeigt sie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6</w:t>
      </w:r>
    </w:p>
    <w:p>
      <w:r>
        <w:t>Bei diesem Ausgang des Verfahrens sind die Gerichtskosten der Beschwerdeführerin 1 aufzuerlegen ( Art. 66 Abs. 1 BGG ).</w:t>
      </w:r>
    </w:p>
    <w:p>
      <w:r>
        <w:t>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