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4D_82/2024 vom 11. Juli 2024</w:t>
      </w:r>
    </w:p>
    <w:p>
      <w:r>
        <w:t>Bundesgericht, 2024-07-11, FR</w:t>
      </w:r>
    </w:p>
    <w:p>
      <w:r>
        <w:rPr>
          <w:b/>
        </w:rPr>
        <w:t xml:space="preserve">Quelle: </w:t>
      </w:r>
      <w:r>
        <w:t>https://mcp.opencaselaw.ch/entscheid/bger_4D_82_2024</w:t>
      </w:r>
    </w:p>
    <w:p>
      <w:r>
        <w:t>FR: TF 4D_82/2024 du 11 juillet 2024</w:t>
      </w:r>
    </w:p>
    <w:p>
      <w:r>
        <w:t>IT: TF 4D_82/2024 del 11 luglio 2024</w:t>
      </w:r>
    </w:p>
    <w:p>
      <w:pPr>
        <w:pStyle w:val="Heading2"/>
      </w:pPr>
      <w:r>
        <w:t>Erwägungen</w:t>
      </w:r>
    </w:p>
    <w:p>
      <w:r>
        <w:rPr>
          <w:b/>
        </w:rPr>
        <w:t>E. 1</w:t>
      </w:r>
    </w:p>
    <w:p>
      <w:r>
        <w:t>Par décision du 28 février 2024, le Tribunal du district de Sion a prononcé, à concurrence de 800 fr. et de 8 fr., intérêts en sus, la mainlevée définitive de l'opposition qu'avait formée A.________ (ci-après: le poursuivi ou le recourant) au commandement de payer que lui avait fait notifier l'État du Valais (ci-après: l'intimé) dans la poursuite n</w:t>
      </w:r>
    </w:p>
    <w:p>
      <w:r>
        <w:t>o xxx de l'Office des poursuites et faillites du district de Sion.</w:t>
      </w:r>
    </w:p>
    <w:p>
      <w:r>
        <w:t>Par arrêt du 23 mai 2024, la Chambre civile du Tribunal cantonal du canton du Valais a rejeté, dans la mesure de sa recevabilité, le recours qu'avait formé le poursuivi à l'encontre de ladite décision.</w:t>
      </w:r>
    </w:p>
    <w:p>
      <w:r>
        <w:rPr>
          <w:b/>
        </w:rPr>
        <w:t>E. 2</w:t>
      </w:r>
    </w:p>
    <w:p>
      <w:r>
        <w:t>Contre cet arrêt, qui lui avait été notifié le 30 mai 2024, le poursuivi a formé recours auprès du Tribunal fédéral à la même date. Il a complété son recours le 12 juin 2024 et sollicité l'octroi de l'assistance judiciaire.</w:t>
      </w:r>
    </w:p>
    <w:p>
      <w:r>
        <w:t>Le 2 juillet 2024, le recourant a transmis, par voie électronique, une nouvelle écriture à la Cour de céans. Dès lors que le délai de recours est échu le 1</w:t>
      </w:r>
    </w:p>
    <w:p>
      <w:r>
        <w:t>er juillet 2024 ( art. 100 al. 1 et art. 45 al. 1 LTF ), cette écriture est tardive et, partant, irrecevable.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En substance, le recourant invoque qu'il est en situation de handicap et que " [l]e Tribunal était tenu de rendre une décision préalable sur [s]a demande d'aménagement ".</w:t>
      </w:r>
    </w:p>
    <w:p>
      <w:r>
        <w:rPr>
          <w:b/>
        </w:rPr>
        <w:t>E. 4.3</w:t>
      </w:r>
    </w:p>
    <w:p>
      <w:r>
        <w:t>Le recourant ne s'en prenant pas de façon précise à la motivation de l'arrêt attaqué et ne formant pas, à l'encontre dudit arrêt, de grief suffisamment motivé et circonstancié de violation de ses droits constitutionnels, son recours est irrecevable (cf.</w:t>
      </w:r>
    </w:p>
    <w:p>
      <w:r>
        <w:t>supra consid. 4.1), ce qu'il y a lieu de constater par voie de procédure simplifiée ( art. 108 al. 1 let. b et art. 117 LTF ).</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