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81/2024 vom 5. Juli 2024</w:t>
      </w:r>
    </w:p>
    <w:p>
      <w:r>
        <w:t>Bundesgericht, 2024-07-05, DE</w:t>
      </w:r>
    </w:p>
    <w:p>
      <w:r>
        <w:rPr>
          <w:b/>
        </w:rPr>
        <w:t xml:space="preserve">Quelle: </w:t>
      </w:r>
      <w:r>
        <w:t>https://mcp.opencaselaw.ch/entscheid/bger_4D_81_2024</w:t>
      </w:r>
    </w:p>
    <w:p>
      <w:r>
        <w:t>FR: TF 4D 81/2024 du 5 juillet 2024</w:t>
      </w:r>
    </w:p>
    <w:p>
      <w:r>
        <w:t>IT: TF 4D 81/2024 del 5 luglio 2024</w:t>
      </w:r>
    </w:p>
    <w:p>
      <w:pPr>
        <w:pStyle w:val="Heading2"/>
      </w:pPr>
      <w:r>
        <w:t>Regeste</w:t>
      </w:r>
    </w:p>
    <w:p>
      <w:r>
        <w:t>Defnitive Rechtsöffnung; Ausstand, | Schuldbetreibungs- und Konkursrecht</w:t>
      </w:r>
    </w:p>
    <w:p>
      <w:pPr>
        <w:pStyle w:val="Heading2"/>
      </w:pPr>
      <w:r>
        <w:t>Erwägungen</w:t>
      </w:r>
    </w:p>
    <w:p>
      <w:r>
        <w:rPr>
          <w:b/>
        </w:rPr>
        <w:t>E. 1</w:t>
      </w:r>
    </w:p>
    <w:p>
      <w:r>
        <w:t>Mit Entscheid vom 12. März 2024 erteilte der Einzelrichter am Kantonsgericht Zug dem Staat Zürich und der politischen Gemeinde Uitikon definitive Rechtsöffnung für Fr. 13'859.05 nebst Zins in der Betreibung Nr. xxx des Betreibungsamts U.________. Gegen diesen Entscheid erhob die Beschwerdeführerin Beschwerde an das Obergericht des Kantons Zug und stellte gleichzeitig Ausstandsbegehren. Mit Beschluss vom 23. April 2024 trat das Obergericht auf verschiedene Ausstandsbegehren nicht ein und wies das Ausstandsgesuch gegen die Oberrichter Siegwart und Scherer ab, soweit es darauf überhaupt eintrat. Gegen diesen Beschluss erhebt die Beschwerdeführerin mit Eingabe vom 27. Mai 2024 Beschwerde an das Bundesgericht. Mit Verfügung vom 29. Mai 2024 wurde das Gesuch um Erteilung der aufschiebenden Wirkung abgewiesen, weil die Beschwerde als aussichtslos erscheine.</w:t>
      </w:r>
    </w:p>
    <w:p>
      <w:r>
        <w:rPr>
          <w:b/>
        </w:rPr>
        <w:t>E. 2</w:t>
      </w:r>
    </w:p>
    <w:p>
      <w:r>
        <w:t>Wie bereits kantonal in Bezug auf das Obergericht verlangt die Beschwerdeführerin auch vor Bundesgericht, dass keine Richter und Gerichtsschreiber zuzulassen seien, welche Freimaurer, Jesuiten, Mitglieder der "BAR-Assocation" oder Mitglied eines andern nichtstaatlichen Bundes sind, dessen Eid jenem nach Art. 10 BGG in tatsächlicher und/oder zeitlicher Hinsicht vorgehen. Der Beschwerdeführerin ist aus früheren Beschwerden an das Bundesgericht bekannt (vgl. etwa Urteil 5A_762/2023 vom 24. Januar 2024 E. 2 mit Hinweisen), dass ein Ausstandsbegehren nicht institutionell, d.h. gegen ein Gericht bzw. sämtliche Gerichtsmitglieder gestellt werden kann. Vielmehr sind substanziiert vorgetragene Ausstandsgründe in Bezug auf konkrete Personen vorzubringen. Solches zeigt die Beschwerdeführerin offensichtlich nicht auf. Auf dieses - im Übrigen querulatorische - Ausstandsgesuch ist daher nicht einzutreten.</w:t>
      </w:r>
    </w:p>
    <w:p>
      <w:r>
        <w:rPr>
          <w:b/>
        </w:rPr>
        <w:t>E. 3.1</w:t>
      </w:r>
    </w:p>
    <w:p>
      <w:r>
        <w:t>Die Beschwerde richtet sich gegen einen selbstständig eröffneten Zwischenentscheid einer letzten kantonalen Instanz über ein Ausstandsbegehren ( Art. 92 Abs. 1 BGG ). Bei Zwischenentscheiden folgt der Rechtsweg demjenigen der Hauptsache ( BGE 137 III 380 E. 1.1). In der Hauptsache geht es um eine definitive Rechtsöffnung in der Höhe von Fr. 13'859.05. Der Streitwert erreicht damit die Streitwertgrenze für eine Beschwerde in Zivilsachen gemäss Art. 74 Abs. 1 BGG nicht.</w:t>
      </w:r>
    </w:p>
    <w:p>
      <w:r>
        <w:rPr>
          <w:b/>
        </w:rPr>
        <w:t>E. 3.2</w:t>
      </w:r>
    </w:p>
    <w:p>
      <w:r>
        <w:t>Die Beschwerde in Zivilsachen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5</w:t>
      </w:r>
    </w:p>
    <w:p>
      <w:r>
        <w:t>Die Eingabe der Beschwerdeführerin erfüllt diese Begründungsanforderungen offensichtlich nicht. Sie schildert darin bloss ihre Sicht der Dinge. Sie geht indessen auf die Erwägungen der Vorinstanz nicht hinreichend konkret ein, geschweige denn zeigt sie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6</w:t>
      </w:r>
    </w:p>
    <w:p>
      <w:r>
        <w:t>Bei diesem Ausgang des Verfahrens sind die Gerichtskosten der Beschwerdeführerin aufzuerlegen ( Art. 66 Abs. 1 BGG ). Den Beschwerdegegnern ist keine Parteientschädigung zuzusprechen ( Art. 68 Abs. 3 BGG ), zumal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