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4D_80/2025 vom 6. Juni 2025</w:t>
      </w:r>
    </w:p>
    <w:p>
      <w:r>
        <w:t>Bundesgericht, 2025-06-06, DE</w:t>
      </w:r>
    </w:p>
    <w:p>
      <w:r>
        <w:rPr>
          <w:b/>
        </w:rPr>
        <w:t xml:space="preserve">Quelle: </w:t>
      </w:r>
      <w:r>
        <w:t>https://mcp.opencaselaw.ch/entscheid/bger_4D_80_2025</w:t>
      </w:r>
    </w:p>
    <w:p>
      <w:r>
        <w:t>FR: TF 4D_80/2025 du 6 juin 2025</w:t>
      </w:r>
    </w:p>
    <w:p>
      <w:r>
        <w:t>IT: TF 4D_80/2025 del 6 giugno 2025</w:t>
      </w:r>
    </w:p>
    <w:p>
      <w:pPr>
        <w:pStyle w:val="Heading2"/>
      </w:pPr>
      <w:r>
        <w:t>Erwägungen</w:t>
      </w:r>
    </w:p>
    <w:p>
      <w:r>
        <w:rPr>
          <w:b/>
        </w:rPr>
        <w:t>E. 1.1</w:t>
      </w:r>
    </w:p>
    <w:p>
      <w:r>
        <w:t>Mit Verfügung vom 24. Mai 2024 erteilte das Bezirksgericht March dem Beschwerdegegner in der Betreibung Nr. xxx des Betreibungskreises Altendorf-Lachen SZ vom 11. März 2024 gegen die Beschwerdeführerin definitive Rechtsöffnung für Fr. 1'400.--. Gegen diesen Rechtsöffnungsentscheid erhob die Beschwerdeführerin Beschwerde beim Kantonsgericht Schwyz. Mit Verfügung vom 25. Juli 2024 wies der Kantonsgerichtspräsident das Fristwiederherstellungsgesuch ab. Zugleich trat er wegen Verspätung und mangels rechtsgenügender Begründung auf die Beschwerde nicht ein. Das Gesuch um unentgeltliche Rechtspflege wies er ab und auferlegte die Kosten des Beschwerdeverfahrens von Fr. 300.-- der Beschwerdeführerin. Auf diese gegen diese Verfügung erhobene Beschwerde trat das Bundesgericht mit Urteil 4D_132/2024 vom 10. Februar 2025 im vereinfachten Verfahren nach Art. 108 BGG nicht ein.</w:t>
      </w:r>
    </w:p>
    <w:p>
      <w:r>
        <w:rPr>
          <w:b/>
        </w:rPr>
        <w:t>E. 1.2</w:t>
      </w:r>
    </w:p>
    <w:p>
      <w:r>
        <w:t>Mit Eingabe vom 25. März 2025 ersuchte die Beschwerdeführerin am Kantonsgericht Schwyz sinngemäss um Erlass der Kosten von Fr. 300.--, die Annahme ihrer Vertreterin als neue Schuldnerin der Kosten und erneut um Gewährung der unentgeltlichen Rechtspflege. Mit Verfügung vom 31. März 2025 wies der Kantonsgerichtspräsident das Gesuch ab, soweit er darauf eintrat.</w:t>
      </w:r>
    </w:p>
    <w:p>
      <w:r>
        <w:t>Gegen diese Verfügung erhebt die Beschwerdeführerin mit Eingabe vom 26. April 2025 Beschwerde an das Bundesgericht. Auf das Einholen von Vernehmlassungen zur Beschwerde wurde verzichtet.</w:t>
      </w:r>
    </w:p>
    <w:p>
      <w:r>
        <w:rPr>
          <w:b/>
        </w:rPr>
        <w:t>E. 2.1</w:t>
      </w:r>
    </w:p>
    <w:p>
      <w:r>
        <w:t>Beschwerden an das Bundesgericht sind hinreichend zu begründen, ansonsten darauf nicht eingetreten werden kann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Eingabe der Beschwerdeführerin erfüllt diese Begründungsanforderungen offensichtlich nicht. Sie verlangt darin die Gutheissung ihres Gesuchs, macht eine "reine Behördenschikane" geltend und schildert ihre Sicht der Dinge. Sie geht indessen auf die Erwägungen der Vorinstanz nicht hinreichend konkret ein, geschweige denn zeigt sie nachvollziehbar auf, welche Rechte die Vorinstanz mit ihrem Entscheid inwiefern verletzt haben soll.</w:t>
      </w:r>
    </w:p>
    <w:p>
      <w:r>
        <w:t>Auf die Beschwerde ist somit mangels hinreichender Begründung nicht einzutreten ( Art. 108 Abs. 1 lit. b BGG ).</w:t>
      </w:r>
    </w:p>
    <w:p>
      <w:r>
        <w:rPr>
          <w:b/>
        </w:rPr>
        <w:t>E. 4</w:t>
      </w:r>
    </w:p>
    <w:p>
      <w:r>
        <w:t>Unter den gegebenen Umständen ist für das bundesgerichtliche Verfahren ausnahmsweise auf die Erhebung von Gerichtskosten zu verzichten (Art. 66 Abs. 1 zweiter Satz BGG), womit das Gesuch um Befreiung von diesen Kosten gegenstandslos wird.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