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4D_80/2008 vom 26. September 2008</w:t>
      </w:r>
    </w:p>
    <w:p>
      <w:r>
        <w:t>Bundesgericht, 2008-09-26, FR</w:t>
      </w:r>
    </w:p>
    <w:p>
      <w:r>
        <w:rPr>
          <w:b/>
        </w:rPr>
        <w:t xml:space="preserve">Quelle: </w:t>
      </w:r>
      <w:r>
        <w:t>https://mcp.opencaselaw.ch/entscheid/bger_4D_80_2008</w:t>
      </w:r>
    </w:p>
    <w:p>
      <w:r>
        <w:t>FR: TF 4D_80/2008 du 26 septembre 2008</w:t>
      </w:r>
    </w:p>
    <w:p>
      <w:r>
        <w:t>IT: TF 4D_80/2008 del 26 settembre 2008</w:t>
      </w:r>
    </w:p>
    <w:p>
      <w:pPr>
        <w:pStyle w:val="Heading2"/>
      </w:pPr>
      <w:r>
        <w:t>Erwägungen</w:t>
      </w:r>
    </w:p>
    <w:p>
      <w:r>
        <w:rPr>
          <w:b/>
        </w:rPr>
        <w:t>E. 1.1</w:t>
      </w:r>
    </w:p>
    <w:p>
      <w:r>
        <w:t>Une contestation entre un assuré et une caisse-maladie au sujet de prétentions découlant d'une assurance complémentaire soumise à la LCA constitue une affaire pécuniaire en matière civile, au sens des art. 72 al. 1 et 74 al. 1 LTF ( ATF 133 III 439 consid. 2.1; 124 III 44 consid. 1a/aa, 229 consid. 2b). Une décision statuant sur une telle contestation ne peut donc pas être attaquée par la voie du recours en matière de droit public (cf. art. 82 LTF ), mais bien celle du recours en matière civile, pour autant que la valeur litigieuse s'élève au moins à 30'000 fr. ( art. 74 al. 1 let. b LTF ) ou, si tel n'est pas le cas, que la contestation soulève une question juridique de principe ( art. 74 al. 2 let. a LTF ; cf. ATF 133 III 439 consid. 2.2.2). Dans cette dernière hypothèse, il incombe au recourant d'exposer de manière circonstanciée en quoi l'affaire remplit la condition exigée, à défaut de quoi le recours en matière civile se révèle irrecevable (art. 42 al. 2, 2e phrase, LTF; ATF 133 III 439 consid. 2.2.2.1).</w:t>
      </w:r>
    </w:p>
    <w:p>
      <w:r>
        <w:t>La valeur litigieuse est déterminée, en cas de recours contre une décision finale, par les conclusions restées litigieuses devant l'autorité précédente ( art. 51 al. 1 let. a LTF ). Si les conclusions ne tendent pas au paiement d'une somme d'argent déterminée, le Tribunal fédéral fixe la valeur litigieuse selon son appréciation ( art. 51 al. 2 LTF ). En l'espèce, le dossier ne contient aucun élément qui pourrait permettre de retenir que la valeur litigieuse atteigne le minimum exigé par l' art. 74 al. 1 let. b OJ , et la recourante ne prétend d'ailleurs pas que tel serait le cas. Dès lors que la recourante ne soutient pas non plus que la contestation soulèverait une question juridique de principe, le recours en matière civile n'est pas ouvert en l'espèce.</w:t>
      </w:r>
    </w:p>
    <w:p>
      <w:r>
        <w:rPr>
          <w:b/>
        </w:rPr>
        <w:t>E. 1.2</w:t>
      </w:r>
    </w:p>
    <w:p>
      <w:r>
        <w:t>L'arrêt attaqué ne pouvant ainsi pas faire l'objet d'un recours ordinaire, il peut être attaqué par la voie du recours constitutionnel subsidiaire ( art. 113 LTF ), dont les conditions apparaissent remplies en l'espèce. En effet, le recours, interjeté par la partie demanderesse qui a succombé dans ses conclusions prises devant l'autorité précédente et qui a donc qualité pour recourir ( art. 115 LTF ; cf. ATF 133 III 421 consid. 1.1), est dirigé contre une décision finale ( art. 117 et 90 al. 1 LTF ) prise par un tribunal supérieur statuant en dernière instance cantonale ( art. 114 et 75 LTF ). Déposé en temps utile ( art. 117 et 100 al. 1 LTF ) et dans les formes prévues par la loi ( art. 42 LTF ), le recours constitutionnel subsidiaire est donc en principe recevable.</w:t>
      </w:r>
    </w:p>
    <w:p>
      <w:r>
        <w:rPr>
          <w:b/>
        </w:rPr>
        <w:t>E. 1.3</w:t>
      </w:r>
    </w:p>
    <w:p>
      <w:r>
        <w:t>Tout mémoire doit indiquer les conclusions ( art. 42 al. 1 LTF ). Si le Tribunal fédéral admet le recours, il peut en principe statuer lui-même sur le fond ( art. 107 al. 2 LTF concernant le recours en matière civile, auquel renvoie l' art. 117 LTF s'agissant du recours constitutionnel subsidiaire).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133 III 489 consid. 3.1 et les références citées). En l'espèce, la recourante n'a pas pris de conclusions sur le fond, mais a conclu à l'annulation de l'arrêt attaqué et au renvoi de la cause à l'autorité précédente pour que celle-ci statue à nouveau notamment sur l'existence d'une réticence en rapport avec le « drusens du nerf optique ». Point n'est besoin de trancher la question de savoir si de telles conclusions sont admissibles en l'espèce, puisque, comme on le verra, le recours se révèle de toute manière mal fondé.</w:t>
      </w:r>
    </w:p>
    <w:p>
      <w:r>
        <w:rPr>
          <w:b/>
        </w:rPr>
        <w:t>E. 1.4</w:t>
      </w:r>
    </w:p>
    <w:p>
      <w:r>
        <w:t>Le recours constitutionnel subsidiaire ne peut être exercé que pour violation des droits constitutionnels ( art. 116 LTF ). Le Tribunal fédéral n'examine que les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2.1.1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rPr>
          <w:b/>
        </w:rPr>
        <w:t>E. 2.1.2</w:t>
      </w:r>
    </w:p>
    <w:p>
      <w:r>
        <w:t>L' art. 6 LCA (dans sa teneur en vigueur depuis le 1er janvier 2006, qui ne change rien en l'espèce par rapport à l'ancienne teneur)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w:t>
      </w:r>
    </w:p>
    <w:p>
      <w:r>
        <w:t>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 ATF 118 II 333 consid. 2b; 116 II 338 consid. 1c et les arrêts cités; arrêt destiné à la publication 9C_99/2008 du 3 juillet 2008, consid. 3.3.3; Urs Ch. Nef, Basler Kommentar, Bundesgesetz über den Versicherungsvertrag, 2001, n. 26 ad art. 4 LCA ). En d'autres termes, ce qui importe n'est pas l'exactitude objective, mais l'exactitude subjective de la déclaration que le proposant est en mesure de faire à la lumière de sa situation personnelle (Nef, op. cit., n. 27 ad art. 4 LCA ).</w:t>
      </w:r>
    </w:p>
    <w:p>
      <w:r>
        <w:rPr>
          <w:b/>
        </w:rPr>
        <w:t>E. 2.1.3</w:t>
      </w:r>
    </w:p>
    <w:p>
      <w:r>
        <w:t>L' art. 4 al. 3 LCA institue la présomption que les faits au sujet desquels l'assureur a posé par écrit des questions précises, non équivoques, sont des faits importants pour l'appréciation du risque au sens de l' art. 4 al. 1 et 2 LCA , à savoir des faits de nature à influer sur la détermination de l'assureur de conclure le contrat ou de le conclure aux conditions convenues. Cette présomption tend à faciliter la preuve de l'importance d'un fait pour la conclusion du contrat aux conditions prévues, en renversant le fardeau de la preuve ( ATF 118 II 333 consid. 2a et les références citées). Il demeure loisible au preneur d'assurance de prouver que l'assureur aurait conclu le contrat aux conditions convenues même s'il avait connu le fait que le preneur d'assurance a omis de déclarer ou inexactement déclaré ( ATF 92 II 342 consid. 5; Nef, op. cit., n. 56 ad art. 4 LCA et les références citées).</w:t>
      </w:r>
    </w:p>
    <w:p>
      <w:r>
        <w:rPr>
          <w:b/>
        </w:rPr>
        <w:t>E. 2.2.1</w:t>
      </w:r>
    </w:p>
    <w:p>
      <w:r>
        <w:t>En l'espèce, l'autorité cantonale a constaté en fait que la demanderesse avait subi le 25 septembre 2003 une excision d'un nodule et que cette intervention chirurgicale, réalisée à la Clinique V.________ SA, avait coûté 1'039 fr. 25 pour les honoraires du Dr A.________ et 1'399 fr. 50 pour les frais de séjour à la clinique. Selon les juges cantonaux, ce nodule devait être considéré comme une maladie, à savoir une « altération de la santé », selon la définition donnée par le Petit Larousse. Par ailleurs, dans la mesure où ce nodule avait nécessité une intervention chirurgicale en clinique, il n'était pas possible de considérer, d'un point de vue objectif et subjectif, qu'il s'agissait d'une affection bénigne. Compte tenu également des coûts médicaux relativement élevés de cette intervention, l'autorité cantonale a estimé qu'il ne pouvait échapper à la demanderesse qu'il s'agissait d'un fait important pour l'appréciation du risque, qui aurait dû être annoncé dans le cadre de la question 3, lettre l, du questionnaire de santé.</w:t>
      </w:r>
    </w:p>
    <w:p>
      <w:r>
        <w:rPr>
          <w:b/>
        </w:rPr>
        <w:t>E. 2.2.2</w:t>
      </w:r>
    </w:p>
    <w:p>
      <w:r>
        <w:t>La recourante reproche à l'autorité précédente d'avoir violé arbitrairement les art. 4 et 6 LCA en appliquant de manière insoutenable, en contradiction avec les principes posés par ces dispositions, la notion d'importance des faits pour l'appréciation du risque ainsi que la notion de faits importants que la recourante connaissait ou devait connaître. Sur le premier point, la recourante fait grief aux juges cantonaux d'avoir arbitrairement admis que le nodule excisé était une maladie ou une altération de la santé et qu'il relevait d'une affection qui n'était pas bénigne. Sur le second point, elle fait valoir qu'elle pouvait en toute bonne foi considérer ce dont elle souffrait comme une atteinte passagère et sans importance à son bien-être physique, que l'attention requise ne lui commandait pas d'annoncer.</w:t>
      </w:r>
    </w:p>
    <w:p>
      <w:r>
        <w:rPr>
          <w:b/>
        </w:rPr>
        <w:t>E. 2.2.3</w:t>
      </w:r>
    </w:p>
    <w:p>
      <w:r>
        <w:t>Dans le questionnaire de santé, la recourante avait à répondre à la question suivante: « Au cours des 5 dernières années, avez-vous suivi un traitement ambulatoire ou stationnaire dispensé par un médecin, un naturopathe ou un thérapeute pour une maladie ou une affection physique ou psychiatrique- Par exemple pour une maladie ou une affection : [...]». Suivaient aux lettres a à k des questions systématiques sur divers types de maladies ou d'affections, tandis que la lettre l se rapportait à d'éventuelles maladies ou affections « non indiquées précédemment »; la recourante était priée de cocher la case « oui » ou la case « non » après chaque question.</w:t>
      </w:r>
    </w:p>
    <w:p>
      <w:r>
        <w:t>Fondamentalement, la recourante était ainsi invitée à déclarer tout traitement ambulatoire ou stationnaire dispensé au cours des 5 dernières années par un médecin, un naturopathe ou un thérapeute pour une maladie ou une affection physique ou psychiatrique. Il ne pouvait pas lui échapper que le nodule qui s'était formé sur sa cicatrice de césarienne constituait en tous les cas une « affection physique » qui a nécessité un « traitement ambulatoire ou stationnaire dispensé par un médecin », le traitement en question ayant consisté en l'excision de ce nodule par le Dr A.________, réalisée le 25 septembre 2003 à la Clinique V.________ SA. Compte tenu également du coût de cette intervention chirurgicale réalisée en séjour stationnaire (soit 1'039 fr. 25 pour les honoraires du Dr A.________ et 1'399 fr. 50 pour les frais de séjour à la clinique), il n'apparaît en tout cas pas arbitraire de considérer qu'il ne s'agissait pas d'une affection bénigne que la recourante aurait pu se croire autorisée à ne pas indiquer. Une telle affection n'entrait en effet de toute évidence pas dans la catégorie des indispositions sporadiques que l'intéressée aurait pu de toute bonne foi considérer comme des atteintes passagères et sans importance à son bien-être physique, et que l'attention requise ne lui commandait pas d'annoncer (cf. ATF 109 V 36 consid. 1b, également reproduit in SJ 1983 p. 236; ATF 116 II 338 consid. 1b; arrêt du Tribunal d'appel du canton de Bâle-ville du 29 octobre 1987, reproduit in RBA XVI n° 10, consid. a). Au surplus, la recourante était interrogée sur toutes les maladies ou affections pour lesquelles elle avait suivi un traitement, et non seulement sur les maladies graves (cf. les deux derniers arrêts cités).</w:t>
      </w:r>
    </w:p>
    <w:p>
      <w:r>
        <w:t>Par ailleurs, dès lors que les traitements ambulatoires ou stationnaires dispensés par un médecin au cours des 5 dernières années faisaient partie des faits au sujet desquels l'intimée avait posé par écrit des questions précises, non équivoques, ils étaient présumés importants pour l'appréciation du risque en vertu de l' art. 4 al. 3 LCA (cf. consid. 2.1.3 supra). Or la recourante ne prétend pas avoir renversé cette présomption. Ses griefs se révèlent ainsi mal fondés.</w:t>
      </w:r>
    </w:p>
    <w:p>
      <w:r>
        <w:rPr>
          <w:b/>
        </w:rPr>
        <w:t>E. 3</w:t>
      </w:r>
    </w:p>
    <w:p>
      <w:r>
        <w:t>Il résulte de ce que précède que le recours en matière de droit public, traité comme recours en matière civile, doit être déclaré irrecevable (cf. consid. 1.1 supra), tandis que le recours constitutionnel subsidiaire, pour autant qu'il soit recevable (cf. consid. 1.3 supra), doit être rejeté (cf. consid. 2.2.3 supra).</w:t>
      </w:r>
    </w:p>
    <w:p>
      <w:r>
        <w:t>La recourante, qui succombe, supportera les frais judiciaires ( art. 66 al. 1 LTF ). L'intimée n'étant pas représentée par un avocat, il n'y a pas lieu de lui allouer de dépens ( art. 68 al. 1 et 2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